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版本号：ATCG-202600820260817001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镇安县未成年人保护中心能力提升项目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ATCG-2026008</w:t>
      </w:r>
      <w:r>
        <w:br/>
      </w:r>
      <w:r>
        <w:br/>
      </w:r>
      <w:r>
        <w:br/>
      </w:r>
    </w:p>
    <w:p>
      <w:pPr>
        <w:pStyle w:val="null3"/>
        <w:jc w:val="center"/>
        <w:outlineLvl w:val="2"/>
      </w:pPr>
      <w:r>
        <w:rPr>
          <w:rFonts w:ascii="仿宋_GB2312" w:hAnsi="仿宋_GB2312" w:cs="仿宋_GB2312" w:eastAsia="仿宋_GB2312"/>
          <w:sz w:val="28"/>
          <w:b/>
        </w:rPr>
        <w:t>镇安县民政局（本级）</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镇安县民政局（本级）</w:t>
      </w:r>
      <w:r>
        <w:rPr>
          <w:rFonts w:ascii="仿宋_GB2312" w:hAnsi="仿宋_GB2312" w:cs="仿宋_GB2312" w:eastAsia="仿宋_GB2312"/>
        </w:rPr>
        <w:t>委托，拟对</w:t>
      </w:r>
      <w:r>
        <w:rPr>
          <w:rFonts w:ascii="仿宋_GB2312" w:hAnsi="仿宋_GB2312" w:cs="仿宋_GB2312" w:eastAsia="仿宋_GB2312"/>
        </w:rPr>
        <w:t>镇安县未成年人保护中心能力提升项目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ATCG-2026008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镇安县未成年人保护中心能力提升项目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镇安县未成年人保护中心能力提升项目，该项目位于永乐街道办镇城社区贺家槽小区(县福利中心院内)，对现有设施改造提升，包含基础设施改造、设施设备更新等。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采购包1（镇安县未成年人保护中心能力提升项目）：属于专门面向中小企业采购。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统一社会信用代码的营业执照或事业单位法人证书等国家规定的相关证明，自然人参与的提供其身份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附法定代表人、被授权委托人身份证复印件）及被授权委托人身份证原件（法定代表人参加投标只须提供法定代表人身份证）：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3、投标单位应具备建筑工程施工总承包三级及以上资质，具备有效的安全生产许可证；：投标单位应具备建筑工程施工总承包三级及以上资质，具备有效的安全生产许可证；</w:t>
      </w:r>
    </w:p>
    <w:p>
      <w:pPr>
        <w:pStyle w:val="null3"/>
      </w:pPr>
      <w:r>
        <w:rPr>
          <w:rFonts w:ascii="仿宋_GB2312" w:hAnsi="仿宋_GB2312" w:cs="仿宋_GB2312" w:eastAsia="仿宋_GB2312"/>
        </w:rPr>
        <w:t>4、拟派项目经理须具有建筑工程二级及以上注册建造师执业资格，具备有效的安全生产考核合格证书，且不得担任其他在建施工项目的项目经理：拟派项目经理须具有建筑工程二级及以上注册建造师执业资格，具备有效的安全生产考核合格证书，且不得担任其他在建施工项目的项目经理；</w:t>
      </w:r>
    </w:p>
    <w:p>
      <w:pPr>
        <w:pStyle w:val="null3"/>
      </w:pPr>
      <w:r>
        <w:rPr>
          <w:rFonts w:ascii="仿宋_GB2312" w:hAnsi="仿宋_GB2312" w:cs="仿宋_GB2312" w:eastAsia="仿宋_GB2312"/>
        </w:rPr>
        <w:t>5、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6、财务状况报告：提供供应商2025年度财务审计报告，或者提供其投标前三个月内基本存款账户开户银行出具的资信证明及基本存款帐户开户证明；：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7、具有依法缴纳税收的良好记录（提供投标截止日前一年内任一个月的纳税证明或完税证明（任意税种），依法免税的单位应提供相关证明材料）：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8、社会保障资金缴纳证明：提供投标截止日前一年内任意一个月已缴纳的社会保障资金缴存单据或社保机构开具的社会保险参保缴费情况证明；依法不需要缴纳社会保障资金的应提供相关文件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9、提供参加政府采购活动近3年内在经营活动中没有重大违法纪录的书面声明：提供参加政府采购活动近3年内在经营活动中没有重大违法纪录的书面声明；</w:t>
      </w:r>
    </w:p>
    <w:p>
      <w:pPr>
        <w:pStyle w:val="null3"/>
      </w:pPr>
      <w:r>
        <w:rPr>
          <w:rFonts w:ascii="仿宋_GB2312" w:hAnsi="仿宋_GB2312" w:cs="仿宋_GB2312" w:eastAsia="仿宋_GB2312"/>
        </w:rPr>
        <w:t>10、提供具备履行合同所必需的设备和专业技术能力的书面声明：提供具备履行合同所必需的设备和专业技术能力的书面声；</w:t>
      </w:r>
    </w:p>
    <w:p>
      <w:pPr>
        <w:pStyle w:val="null3"/>
      </w:pPr>
      <w:r>
        <w:rPr>
          <w:rFonts w:ascii="仿宋_GB2312" w:hAnsi="仿宋_GB2312" w:cs="仿宋_GB2312" w:eastAsia="仿宋_GB2312"/>
        </w:rPr>
        <w:t>11、本项目不接受联合体磋商，提供非联合体声明：本项目不接受联合体磋商，提供非联合体声明；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13992462677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陕西省商洛市镇安县永乐街道办事处镇城社区岭南路138号龙祥大厦3楼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18992423433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采购包1：1,369,967.65元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镇安县民政局（本级）</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联系人：沈工</w:t>
      </w:r>
    </w:p>
    <w:p>
      <w:pPr>
        <w:pStyle w:val="null3"/>
      </w:pPr>
      <w:r>
        <w:rPr>
          <w:rFonts w:ascii="仿宋_GB2312" w:hAnsi="仿宋_GB2312" w:cs="仿宋_GB2312" w:eastAsia="仿宋_GB2312"/>
        </w:rPr>
        <w:t>联系电话：18992423433</w:t>
      </w:r>
    </w:p>
    <w:p>
      <w:pPr>
        <w:pStyle w:val="null3"/>
      </w:pPr>
      <w:r>
        <w:rPr>
          <w:rFonts w:ascii="仿宋_GB2312" w:hAnsi="仿宋_GB2312" w:cs="仿宋_GB2312" w:eastAsia="仿宋_GB2312"/>
        </w:rPr>
        <w:t>地址：陕西省商洛市镇安县永乐街道办事处镇城社区岭南路138号龙祥大厦3楼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1,369,967.65</w:t>
      </w:r>
    </w:p>
    <w:p>
      <w:pPr>
        <w:pStyle w:val="null3"/>
      </w:pPr>
      <w:r>
        <w:rPr>
          <w:rFonts w:ascii="仿宋_GB2312" w:hAnsi="仿宋_GB2312" w:cs="仿宋_GB2312" w:eastAsia="仿宋_GB2312"/>
        </w:rPr>
        <w:t>采购包最高限价（元）: 1,369,967.65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镇安县未成年人保护中心能力提升项目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1,369,967.65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标的名称：镇安县未成年人保护中心能力提升项目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 平台实施的政府采购项目的投标(响应文件)。成交供应商在领取成交通知书时，须向采购代理机构另行提交纸质投标(响应)文件一套(包括正本1份、副本2份);纸质投标(响应)文件须基于已提交的电子投标(响应)文件原文打印，按规范装订成册，确保与电子文件内容完全一致、无任何差异。地址:陕西省商洛市镇安县永乐街道办事处镇城社区岭南路138号龙祥大厦3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法人身份证明.docx 法人授权委托书.docx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投标单位应具备建筑工程施工总承包三级及以上资质，具备有效的安全生产许可证；</w:t>
            </w:r>
          </w:p>
        </w:tc>
        <w:tc>
          <w:tcPr>
            <w:tcW w:type="dxa" w:w="3322"/>
          </w:tcPr>
          <w:p>
            <w:pPr>
              <w:pStyle w:val="null3"/>
            </w:pPr>
            <w:r>
              <w:rPr>
                <w:rFonts w:ascii="仿宋_GB2312" w:hAnsi="仿宋_GB2312" w:cs="仿宋_GB2312" w:eastAsia="仿宋_GB2312"/>
              </w:rPr>
              <w:t>投标单位应具备建筑工程施工总承包三级及以上资质，具备有效的安全生产许可证；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拟派项目经理须具有建筑工程二级及以上注册建造师执业资格，具备有效的安全生产考核合格证书，且不得担任其他在建施工项目的项目经理</w:t>
            </w:r>
          </w:p>
        </w:tc>
        <w:tc>
          <w:tcPr>
            <w:tcW w:type="dxa" w:w="3322"/>
          </w:tcPr>
          <w:p>
            <w:pPr>
              <w:pStyle w:val="null3"/>
            </w:pPr>
            <w:r>
              <w:rPr>
                <w:rFonts w:ascii="仿宋_GB2312" w:hAnsi="仿宋_GB2312" w:cs="仿宋_GB2312" w:eastAsia="仿宋_GB2312"/>
              </w:rPr>
              <w:t>拟派项目经理须具有建筑工程二级及以上注册建造师执业资格，具备有效的安全生产考核合格证书，且不得担任其他在建施工项目的项目经理；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3322"/>
          </w:tcPr>
          <w:p>
            <w:pPr>
              <w:pStyle w:val="null3"/>
            </w:pPr>
            <w:r>
              <w:rPr>
                <w:rFonts w:ascii="仿宋_GB2312" w:hAnsi="仿宋_GB2312" w:cs="仿宋_GB2312" w:eastAsia="仿宋_GB2312"/>
              </w:rPr>
              <w:t>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提供参加政府采购活动近3年内在经营活动中没有重大违法纪录的书面声明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提供具备履行合同所必需的设备和专业技术能力的书面声明</w:t>
            </w:r>
          </w:p>
        </w:tc>
        <w:tc>
          <w:tcPr>
            <w:tcW w:type="dxa" w:w="3322"/>
          </w:tcPr>
          <w:p>
            <w:pPr>
              <w:pStyle w:val="null3"/>
            </w:pPr>
            <w:r>
              <w:rPr>
                <w:rFonts w:ascii="仿宋_GB2312" w:hAnsi="仿宋_GB2312" w:cs="仿宋_GB2312" w:eastAsia="仿宋_GB2312"/>
              </w:rPr>
              <w:t>提供具备履行合同所必需的设备和专业技术能力的书面声；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本项目不接受联合体磋商，提供非联合体声明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响应文件是否按照竞争性磋商文件要求签署、盖章的</w:t>
            </w:r>
          </w:p>
        </w:tc>
        <w:tc>
          <w:tcPr>
            <w:tcW w:type="dxa" w:w="3322"/>
          </w:tcPr>
          <w:p>
            <w:pPr>
              <w:pStyle w:val="null3"/>
            </w:pPr>
            <w:r>
              <w:rPr>
                <w:rFonts w:ascii="仿宋_GB2312" w:hAnsi="仿宋_GB2312" w:cs="仿宋_GB2312" w:eastAsia="仿宋_GB2312"/>
              </w:rPr>
              <w:t>响应文件是否按照竞争性磋商文件要求签署、盖章的</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项目施工方案详细评审</w:t>
            </w:r>
          </w:p>
        </w:tc>
        <w:tc>
          <w:tcPr>
            <w:tcW w:type="dxa" w:w="2492"/>
          </w:tcPr>
          <w:p>
            <w:pPr>
              <w:pStyle w:val="null3"/>
            </w:pPr>
            <w:r>
              <w:rPr>
                <w:rFonts w:ascii="仿宋_GB2312" w:hAnsi="仿宋_GB2312" w:cs="仿宋_GB2312" w:eastAsia="仿宋_GB2312"/>
              </w:rPr>
              <w:t>评审内容:针对本项目编制完善的施工方案，内容包含但不限于:1具体施工内容;2施工方法;3施工次序;4应急方案;5施工准备:技术准备、材料准备、机械准备、机具准备、劳动力准备等;二、评审标准:1.完整性:方案必须全面，对评审内容中的各项要求有详细描述;2.可实施性:切合本项目实际情况，提出步骤清晰、合理的方案; 3.针对性:方案能够紧扣项目实际情况，内容科学合理。三、赋分标准(满分15分):1具体施工内容:每完全满足一个评审标准得1分，满分3分;2施工方法:每完全满足一个评审标准得1分，满分3分;3施工次序:每完全满足一个评审标准得1分，满分3分;4应急方案:每完全满足一个评审标准得1分，满分3分;5施工准备:技术准备、材料准备机械准备、机具准备、劳动力准备等:每完全满足一个评审标准得1分，满分3分;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1施工进度计划横道图;2进度计划保证措施;3工期保证措施。二、评审标准:1.完整性:方案必须全面，对评审内容中的各项要求有详细描述;2.可实施性:切合本项目实际情况，提出步骤清晰、合理的方案;3.针对性:方案能够紧扣项目实际情况，内容科学合理。三，赋分标准(满分9分):1施工进度计划横道图:每完全满足一个评审标准得1分，满分3分;2进度计划保证措施:每完全满足一个评审标准得1分，满分3分;3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目编制完善的质量保证措施，内容包含但不限于:1施工质量的检验制度;2确保质量的技术组织措施;3施工质量控制措施。二、评审标准:1.完整性:方案必须全面，对评审内容中的各项要求有详细描述;2.可实施性:切合本项目实际情况，提出步骤清晰、合理的方案;3.针对性:方案能够紧扣项目实际情况，内容科学合理。三、赋分标准(满分9分):1施工质量检验制度:每完全满足一个评审标准得1分，满分3分;2确保质量的技术组织措施:每完全满足一个评审标准得1分，满分3分;3施工质量控制措施: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评审内容:供应商针对本项目编制完善的资源配置计划，内容包含但不限于:1劳动力资源配置计划;2施工机械设备投入计划;3主要施工材料供应计划。二、评审标准:1.完整性:方案必须全面，对评审内容中的各项要求有详细描述;2.可实施性:切合本项目实际情况，提出步骤清晰、合理的方案;3.针对性:方案能够紧扣项目实际情况，内容科学合理。三、赋分标准(满分7.5分):1劳动力资源配置计划:每完全满足一个评审标准得1分，满分3分;2施工机械设备投入计划:每完全满足一个评审标准得1分，满分3分;3主要施工材料供应计划:每完全满足一个评审标准得0.5分，满分1.5分;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评审内容:供应商针对本项目编制完整的安全施工措施，内容包含但不限于:1安全生产管理制度;2安全施工措施;3安全应急预案;4安全生产教育。二、评审标准:1.完整性:方案必须全面，对评审内容中的各项要求有详细描述;2.可实施性:切合本项目实际情况，提出步骤清晰、合理的方案;3.针对性:方案能够紧扣项目实际情况，内容科学合理。三、赋分标准(满分9分):1安全生产管理制度:每完全满足一个评审标准得0.5分，满分1.5分;2安全施工措施:每完全满足一个评审标准得1分,满分3分;3安全应急预案:每完全满足一个评审标准得1分，满分3分;4安全生产教育:每完全满足一个评审标准得0.5分，满分1.5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评审内容:供应商针对本项目编制完整的文明施工措施，内容包含但不限于:1文明施工管理目标及技术措施;2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1文明施工管理目标及技术措施:每完全满足一个评审标准得1分，满分3分;2文明施工现场管理: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1项目成员配置清单及架构;项目组配备人员的专业素质、人员结构;2项目成员的主要职责及工作内容。二、评审标准:1.完整性:项目组成人员搭配合理、全面，对评审内容中的各项要求有详细描述并提供证书证件;2.可实施性:切合本项目实际情况，人员分工清晰，职责明确;3.针对性:方案能够紧扣项目实际情况，内容科学合理。三、赋分标准(满分6分)1项目成员配置清单及架构;项目组配备人员的专业素质、人员结构:每完全满足一个评审标准得1分，满分3分;2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项目组织管理机构.docx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1维修措施;2保修责任;3保修承诺。二、评审标准:1.完整性:内容必须全面，对评审内容中的各项要求有详细描述;2.落实性:切合项目具体情况提出责任明确、要求具体的方案;3.针对性:内容能够紧扣项目实际情况，内容科学合理。三、赋分标准(满分4.5分):1维修措施:每完全满足一个评审标准得0.5分，满分1.5分;2保修责任:每完全满足一个评审标准得0.5分，满分1.5分;3保修承诺:每完全满足一个评审标准得0.5分，满分1.5分;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截标时间前同类施工项目业绩或类似施工项目业绩；每提供1份计2分，最高得4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详见附件：项目组织管理机构.docx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