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版本号：SXLZ-2026-124.1B120260623001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西安市雁塔区医保网络信息化建设及维护项目(二次)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SXLZ-2026-124.1B1</w:t>
      </w:r>
      <w:r>
        <w:br/>
      </w:r>
      <w:r>
        <w:br/>
      </w:r>
      <w:r>
        <w:br/>
      </w:r>
    </w:p>
    <w:p>
      <w:pPr>
        <w:pStyle w:val="null3"/>
        <w:jc w:val="center"/>
        <w:outlineLvl w:val="2"/>
      </w:pPr>
      <w:r>
        <w:rPr>
          <w:rFonts w:ascii="仿宋_GB2312" w:hAnsi="仿宋_GB2312" w:cs="仿宋_GB2312" w:eastAsia="仿宋_GB2312"/>
          <w:sz w:val="28"/>
          <w:b/>
        </w:rPr>
        <w:t>西安市雁塔区医疗保障局</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西安市雁塔区医疗保障局</w:t>
      </w:r>
      <w:r>
        <w:rPr>
          <w:rFonts w:ascii="仿宋_GB2312" w:hAnsi="仿宋_GB2312" w:cs="仿宋_GB2312" w:eastAsia="仿宋_GB2312"/>
        </w:rPr>
        <w:t>委托，拟对</w:t>
      </w:r>
      <w:r>
        <w:rPr>
          <w:rFonts w:ascii="仿宋_GB2312" w:hAnsi="仿宋_GB2312" w:cs="仿宋_GB2312" w:eastAsia="仿宋_GB2312"/>
        </w:rPr>
        <w:t>西安市雁塔区医保网络信息化建设及维护项目(二次)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西安市雁塔区医保网络信息化建设及维护项目(二次)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全省国家医保信息平台建设要求，为推进雁塔区三级医保经办服务体系建设，方便辖区群众办理医保经办服务事项。对雁塔区约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2024年或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西安市雁塔区医疗保障局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13309202579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改委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3.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西安市雁塔区医疗保障局</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3.如采用供应商所不拥有的知识产权，则在报价中必须包括合法使用该知识产权的相关费用。4.构成本采购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全省国家医保信息平台建设要求，为推进雁塔区三级医保经办服务体系建设，方便辖区群众办理医保经办服务事项。对雁塔区约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西安市雁塔区医保网络信息化建设及维护项目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标的名称：西安市雁塔区医保网络信息化建设及维护项目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一、技术要求：</w:t>
            </w:r>
          </w:p>
          <w:p>
            <w:pPr>
              <w:pStyle w:val="null3"/>
              <w:ind w:firstLine="480"/>
              <w:jc w:val="both"/>
            </w:pPr>
            <w:r>
              <w:rPr>
                <w:rFonts w:ascii="仿宋_GB2312" w:hAnsi="仿宋_GB2312" w:cs="仿宋_GB2312" w:eastAsia="仿宋_GB2312"/>
                <w:sz w:val="18"/>
              </w:rPr>
              <w:t>1.项目概况及总体要求</w:t>
            </w:r>
          </w:p>
          <w:p>
            <w:pPr>
              <w:pStyle w:val="null3"/>
              <w:ind w:firstLine="480"/>
              <w:jc w:val="both"/>
            </w:pPr>
            <w:r>
              <w:rPr>
                <w:rFonts w:ascii="仿宋_GB2312" w:hAnsi="仿宋_GB2312" w:cs="仿宋_GB2312" w:eastAsia="仿宋_GB2312"/>
                <w:sz w:val="18"/>
              </w:rPr>
              <w:t>按照全省国家医保信息平台建设要求，为推进雁塔区三级医保经办服务体系建设，方便辖区群众办理医保经办服务事项。对雁塔区约</w:t>
            </w:r>
            <w:r>
              <w:rPr>
                <w:rFonts w:ascii="仿宋_GB2312" w:hAnsi="仿宋_GB2312" w:cs="仿宋_GB2312" w:eastAsia="仿宋_GB2312"/>
                <w:sz w:val="18"/>
              </w:rPr>
              <w:t>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p>
          <w:p>
            <w:pPr>
              <w:pStyle w:val="null3"/>
              <w:ind w:firstLine="480"/>
              <w:jc w:val="both"/>
            </w:pPr>
            <w:r>
              <w:rPr>
                <w:rFonts w:ascii="仿宋_GB2312" w:hAnsi="仿宋_GB2312" w:cs="仿宋_GB2312" w:eastAsia="仿宋_GB2312"/>
                <w:sz w:val="18"/>
              </w:rPr>
              <w:t>2.采购内容</w:t>
            </w:r>
          </w:p>
          <w:p>
            <w:pPr>
              <w:pStyle w:val="null3"/>
              <w:ind w:firstLine="480"/>
              <w:jc w:val="both"/>
            </w:pPr>
            <w:r>
              <w:rPr>
                <w:rFonts w:ascii="仿宋_GB2312" w:hAnsi="仿宋_GB2312" w:cs="仿宋_GB2312" w:eastAsia="仿宋_GB2312"/>
                <w:sz w:val="18"/>
              </w:rPr>
              <w:t>2.1带有☆号的条款为实质性条款不得有偏离。</w:t>
            </w:r>
          </w:p>
          <w:p>
            <w:pPr>
              <w:pStyle w:val="null3"/>
              <w:ind w:firstLine="480"/>
              <w:jc w:val="both"/>
            </w:pPr>
            <w:r>
              <w:rPr>
                <w:rFonts w:ascii="仿宋_GB2312" w:hAnsi="仿宋_GB2312" w:cs="仿宋_GB2312" w:eastAsia="仿宋_GB2312"/>
                <w:sz w:val="18"/>
              </w:rPr>
              <w:t xml:space="preserve">2.2下列产品为强制采购的节能产品（如有）： </w:t>
            </w:r>
            <w:r>
              <w:rPr>
                <w:rFonts w:ascii="仿宋_GB2312" w:hAnsi="仿宋_GB2312" w:cs="仿宋_GB2312" w:eastAsia="仿宋_GB2312"/>
                <w:sz w:val="18"/>
              </w:rPr>
              <w:t>/</w:t>
            </w:r>
          </w:p>
          <w:p>
            <w:pPr>
              <w:pStyle w:val="null3"/>
              <w:ind w:firstLine="480"/>
              <w:jc w:val="both"/>
            </w:pPr>
            <w:r>
              <w:rPr>
                <w:rFonts w:ascii="仿宋_GB2312" w:hAnsi="仿宋_GB2312" w:cs="仿宋_GB2312" w:eastAsia="仿宋_GB2312"/>
                <w:sz w:val="18"/>
              </w:rPr>
              <w:t>2.3服务要求：</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整体要求：约320个社区的医保网络进行建设，确保各社区接入医保平台，实现与医保系统的互联互通，实现医保的查询、使用等功能，并确保网络安全。服务标准满足国家及行业标准，验收合格达到交钥匙条件，以满足后期社区医保服务工作顺利开展。</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2）具体要求：</w:t>
            </w:r>
          </w:p>
          <w:p>
            <w:pPr>
              <w:pStyle w:val="null3"/>
              <w:ind w:firstLine="480"/>
              <w:jc w:val="both"/>
            </w:pPr>
            <w:r>
              <w:rPr>
                <w:rFonts w:ascii="仿宋_GB2312" w:hAnsi="仿宋_GB2312" w:cs="仿宋_GB2312" w:eastAsia="仿宋_GB2312"/>
                <w:sz w:val="18"/>
              </w:rPr>
              <w:t>1）支持简单快速搭建，并且不需要各医保接入点有专业的网络管理人员配合即可完成医保网接入；</w:t>
            </w:r>
          </w:p>
          <w:p>
            <w:pPr>
              <w:pStyle w:val="null3"/>
              <w:ind w:firstLine="480"/>
              <w:jc w:val="both"/>
            </w:pPr>
            <w:r>
              <w:rPr>
                <w:rFonts w:ascii="仿宋_GB2312" w:hAnsi="仿宋_GB2312" w:cs="仿宋_GB2312" w:eastAsia="仿宋_GB2312"/>
                <w:sz w:val="18"/>
              </w:rPr>
              <w:t>2）支持BGP、OSPF动态路由协议，以完成与医保专网对接；</w:t>
            </w:r>
          </w:p>
          <w:p>
            <w:pPr>
              <w:pStyle w:val="null3"/>
              <w:ind w:firstLine="480"/>
              <w:jc w:val="both"/>
            </w:pPr>
            <w:r>
              <w:rPr>
                <w:rFonts w:ascii="仿宋_GB2312" w:hAnsi="仿宋_GB2312" w:cs="仿宋_GB2312" w:eastAsia="仿宋_GB2312"/>
                <w:sz w:val="18"/>
              </w:rPr>
              <w:t>3）基于互联网的二层互联，简化用户配置及对用户网络设备的要求，同时满足部分仅支持二层互联的业务场景需求；</w:t>
            </w:r>
          </w:p>
          <w:p>
            <w:pPr>
              <w:pStyle w:val="null3"/>
              <w:ind w:firstLine="480"/>
              <w:jc w:val="both"/>
            </w:pPr>
            <w:r>
              <w:rPr>
                <w:rFonts w:ascii="仿宋_GB2312" w:hAnsi="仿宋_GB2312" w:cs="仿宋_GB2312" w:eastAsia="仿宋_GB2312"/>
                <w:sz w:val="18"/>
              </w:rPr>
              <w:t>4）支持各站点多路冗余传输，可保障在发生链路切换时医保业务依然能够正常传输；</w:t>
            </w:r>
          </w:p>
          <w:p>
            <w:pPr>
              <w:pStyle w:val="null3"/>
              <w:ind w:firstLine="480"/>
              <w:jc w:val="both"/>
            </w:pPr>
            <w:r>
              <w:rPr>
                <w:rFonts w:ascii="仿宋_GB2312" w:hAnsi="仿宋_GB2312" w:cs="仿宋_GB2312" w:eastAsia="仿宋_GB2312"/>
                <w:sz w:val="18"/>
              </w:rPr>
              <w:t>5）具有集成广域网优化技术，可有效提升传输效率，要求在50ms延时及30%丢包的网络质量下，依然可保障医保业务访问流畅性；</w:t>
            </w:r>
          </w:p>
          <w:p>
            <w:pPr>
              <w:pStyle w:val="null3"/>
              <w:ind w:firstLine="480"/>
              <w:jc w:val="both"/>
            </w:pPr>
            <w:r>
              <w:rPr>
                <w:rFonts w:ascii="仿宋_GB2312" w:hAnsi="仿宋_GB2312" w:cs="仿宋_GB2312" w:eastAsia="仿宋_GB2312"/>
                <w:sz w:val="18"/>
              </w:rPr>
              <w:t>6）具备流量隔离技术，在整个传输环节中对不同租户或相同租户的不同部门的流量进行逻辑隔离或物理隔离，以确保不同租户或部门间的流量互不干扰、互不泄漏；</w:t>
            </w:r>
          </w:p>
          <w:p>
            <w:pPr>
              <w:pStyle w:val="null3"/>
              <w:ind w:firstLine="480"/>
              <w:jc w:val="both"/>
            </w:pPr>
            <w:r>
              <w:rPr>
                <w:rFonts w:ascii="仿宋_GB2312" w:hAnsi="仿宋_GB2312" w:cs="仿宋_GB2312" w:eastAsia="仿宋_GB2312"/>
                <w:sz w:val="18"/>
              </w:rPr>
              <w:t>7）支持采用国产密码算法，基于端到端加密隧道保障业务数据传输安全，包括数据的机密性、完整性、真实性、不可否认性保护；端到端加密隧道对用户业务数据的所有加解密行为均由部署于用户侧的设备完成，传输过程中不允许存在对用户业务数据解密后再加密的行为，也不允许存在隧道终结的行为；</w:t>
            </w:r>
          </w:p>
          <w:p>
            <w:pPr>
              <w:pStyle w:val="null3"/>
              <w:ind w:firstLine="480"/>
              <w:jc w:val="both"/>
            </w:pPr>
            <w:r>
              <w:rPr>
                <w:rFonts w:ascii="仿宋_GB2312" w:hAnsi="仿宋_GB2312" w:cs="仿宋_GB2312" w:eastAsia="仿宋_GB2312"/>
                <w:sz w:val="18"/>
              </w:rPr>
              <w:t>8）支持采用国产密码算法，保护医保专网接入服务管理控制数据的机密性、完整性、真实性及不可否认性；</w:t>
            </w:r>
          </w:p>
          <w:p>
            <w:pPr>
              <w:pStyle w:val="null3"/>
              <w:ind w:firstLine="480"/>
              <w:jc w:val="both"/>
            </w:pPr>
            <w:r>
              <w:rPr>
                <w:rFonts w:ascii="仿宋_GB2312" w:hAnsi="仿宋_GB2312" w:cs="仿宋_GB2312" w:eastAsia="仿宋_GB2312"/>
                <w:sz w:val="18"/>
              </w:rPr>
              <w:t>9）支持医保专网接入网络全网进行可视化管理，可进行统一策略配置及下发，减轻维护工作量；</w:t>
            </w:r>
          </w:p>
          <w:p>
            <w:pPr>
              <w:pStyle w:val="null3"/>
              <w:ind w:firstLine="480"/>
              <w:jc w:val="both"/>
            </w:pPr>
            <w:r>
              <w:rPr>
                <w:rFonts w:ascii="仿宋_GB2312" w:hAnsi="仿宋_GB2312" w:cs="仿宋_GB2312" w:eastAsia="仿宋_GB2312"/>
                <w:sz w:val="18"/>
              </w:rPr>
              <w:t>10）可提供网管界面，可以提供分级账号，根据权限远程登录查看相关站点及线路信息。权限分级至少支持三级；</w:t>
            </w:r>
          </w:p>
          <w:p>
            <w:pPr>
              <w:pStyle w:val="null3"/>
              <w:ind w:firstLine="480"/>
              <w:jc w:val="both"/>
            </w:pPr>
            <w:r>
              <w:rPr>
                <w:rFonts w:ascii="仿宋_GB2312" w:hAnsi="仿宋_GB2312" w:cs="仿宋_GB2312" w:eastAsia="仿宋_GB2312"/>
                <w:sz w:val="18"/>
              </w:rPr>
              <w:t>11）可提供可视化监控界面，以组网链路为单位， 提供实时带宽利用率、各医保接入点到市医保局的实时网络时延、丢包率、抖动、连接数、Top N流量等信息；</w:t>
            </w:r>
          </w:p>
          <w:p>
            <w:pPr>
              <w:pStyle w:val="null3"/>
              <w:ind w:firstLine="480"/>
              <w:jc w:val="both"/>
            </w:pPr>
            <w:r>
              <w:rPr>
                <w:rFonts w:ascii="仿宋_GB2312" w:hAnsi="仿宋_GB2312" w:cs="仿宋_GB2312" w:eastAsia="仿宋_GB2312"/>
                <w:sz w:val="18"/>
              </w:rPr>
              <w:t>12）支持大屏展示功能，支持将当前网络拓扑结构及相关监控和告警信息投影在大屏上进行显示，做到网络结构及运行情况一目了然；</w:t>
            </w:r>
          </w:p>
          <w:p>
            <w:pPr>
              <w:pStyle w:val="null3"/>
              <w:ind w:firstLine="480"/>
              <w:jc w:val="both"/>
            </w:pPr>
            <w:r>
              <w:rPr>
                <w:rFonts w:ascii="仿宋_GB2312" w:hAnsi="仿宋_GB2312" w:cs="仿宋_GB2312" w:eastAsia="仿宋_GB2312"/>
                <w:sz w:val="18"/>
              </w:rPr>
              <w:t>13）支持提供完善的告警服务，医保网络故障时可进行告警，告警方式支持以邮件、短信、电话等多种形式。</w:t>
            </w:r>
          </w:p>
          <w:p>
            <w:pPr>
              <w:pStyle w:val="null3"/>
              <w:ind w:firstLine="480"/>
              <w:jc w:val="both"/>
            </w:pPr>
            <w:r>
              <w:rPr>
                <w:rFonts w:ascii="仿宋_GB2312" w:hAnsi="仿宋_GB2312" w:cs="仿宋_GB2312" w:eastAsia="仿宋_GB2312"/>
                <w:sz w:val="18"/>
              </w:rPr>
              <w:t>14）支持对设备基于S/N序列号校验的可信入网，确保未知设备无法入网，提高入网安全性。</w:t>
            </w:r>
          </w:p>
          <w:p>
            <w:pPr>
              <w:pStyle w:val="null3"/>
              <w:ind w:firstLine="480"/>
              <w:jc w:val="both"/>
            </w:pPr>
            <w:r>
              <w:rPr>
                <w:rFonts w:ascii="仿宋_GB2312" w:hAnsi="仿宋_GB2312" w:cs="仿宋_GB2312" w:eastAsia="仿宋_GB2312"/>
                <w:sz w:val="18"/>
              </w:rPr>
              <w:t>15）运营管理：本地网关一键接入安全运营管理平台，通过平台对本地网关进行远程管理，安全网关与监管平台之间应采用加密隧道传输，支持远程登录、配置下发、设备巡检等能力，平台同时支持态势展示、AI 运营、告警通知等服务能力。</w:t>
            </w:r>
          </w:p>
          <w:p>
            <w:pPr>
              <w:pStyle w:val="null3"/>
              <w:ind w:firstLine="480"/>
              <w:jc w:val="both"/>
            </w:pPr>
            <w:r>
              <w:rPr>
                <w:rFonts w:ascii="仿宋_GB2312" w:hAnsi="仿宋_GB2312" w:cs="仿宋_GB2312" w:eastAsia="仿宋_GB2312"/>
                <w:sz w:val="18"/>
              </w:rPr>
              <w:t>16）安全运营：提供专家专属服务，包含安全“周报+月报+季报+年报”、应急服务、专属服务群、情报推送、7*24 小时威胁检测及事件通告、事件协助闭环处置、 风险评估等内容。安全应急服务主要包括突发事件闭环处置、日志审计、溯源分析等。</w:t>
            </w:r>
          </w:p>
          <w:p>
            <w:pPr>
              <w:pStyle w:val="null3"/>
              <w:ind w:firstLine="480"/>
              <w:jc w:val="both"/>
            </w:pPr>
            <w:r>
              <w:rPr>
                <w:rFonts w:ascii="仿宋_GB2312" w:hAnsi="仿宋_GB2312" w:cs="仿宋_GB2312" w:eastAsia="仿宋_GB2312"/>
                <w:sz w:val="18"/>
              </w:rPr>
              <w:t>17）终端杀毒：提供≥320 个点终端防护授权，SaaS 化部署（云端管理平台+ 本地 agent），支持资产清点、安全巡检、漏洞管理、病毒检测与防护、挖矿防御、勒 索行为防御、桌面管理（含外设管控、进程管控、违规外联管控、远程协助、广告拦截、软件拦截、资产信息采集）、屏幕水印等功能等功能；运营人员需定期更新设备特征库、终端巡检、策略优化、出具服务报告等内容；7*24H 常态化运营，协助管理员处置安全风险问题。</w:t>
            </w:r>
          </w:p>
          <w:p>
            <w:pPr>
              <w:pStyle w:val="null3"/>
              <w:ind w:firstLine="480"/>
              <w:jc w:val="both"/>
            </w:pPr>
            <w:r>
              <w:rPr>
                <w:rFonts w:ascii="仿宋_GB2312" w:hAnsi="仿宋_GB2312" w:cs="仿宋_GB2312" w:eastAsia="仿宋_GB2312"/>
                <w:sz w:val="18"/>
              </w:rPr>
              <w:t>18）安全值守：提供 7×24 小时在线支撑服务，及时发现、研判并处置安全威胁，保障网络安全稳定运行。</w:t>
            </w:r>
          </w:p>
          <w:p>
            <w:pPr>
              <w:pStyle w:val="null3"/>
              <w:ind w:firstLine="480"/>
              <w:jc w:val="both"/>
            </w:pPr>
            <w:r>
              <w:rPr>
                <w:rFonts w:ascii="仿宋_GB2312" w:hAnsi="仿宋_GB2312" w:cs="仿宋_GB2312" w:eastAsia="仿宋_GB2312"/>
                <w:sz w:val="18"/>
              </w:rPr>
              <w:t>19）系统巡检及维护：按季度开展软件巡检、升级、安全策略与配置核查优化等工作。、</w:t>
            </w:r>
          </w:p>
          <w:p>
            <w:pPr>
              <w:pStyle w:val="null3"/>
              <w:ind w:firstLine="480"/>
              <w:jc w:val="both"/>
            </w:pPr>
            <w:r>
              <w:rPr>
                <w:rFonts w:ascii="仿宋_GB2312" w:hAnsi="仿宋_GB2312" w:cs="仿宋_GB2312" w:eastAsia="仿宋_GB2312"/>
                <w:sz w:val="18"/>
              </w:rPr>
              <w:t>20）网络安全宣传：在国家网络安全宣传周期间组织网络安全宣传培训活动，提升社区网络安全意识。</w:t>
            </w:r>
          </w:p>
          <w:p>
            <w:pPr>
              <w:pStyle w:val="null3"/>
              <w:ind w:firstLine="480"/>
              <w:jc w:val="both"/>
            </w:pPr>
            <w:r>
              <w:rPr>
                <w:rFonts w:ascii="仿宋_GB2312" w:hAnsi="仿宋_GB2312" w:cs="仿宋_GB2312" w:eastAsia="仿宋_GB2312"/>
                <w:sz w:val="18"/>
              </w:rPr>
              <w:t>☆2.4质量要求：满足国家及行业标准。</w:t>
            </w:r>
          </w:p>
          <w:p>
            <w:pPr>
              <w:pStyle w:val="null3"/>
              <w:jc w:val="both"/>
            </w:pPr>
            <w:r>
              <w:rPr>
                <w:rFonts w:ascii="仿宋_GB2312" w:hAnsi="仿宋_GB2312" w:cs="仿宋_GB2312" w:eastAsia="仿宋_GB2312"/>
                <w:sz w:val="18"/>
                <w:b/>
              </w:rPr>
              <w:t>二、商务要求</w:t>
            </w:r>
          </w:p>
          <w:p>
            <w:pPr>
              <w:pStyle w:val="null3"/>
              <w:ind w:firstLine="480"/>
              <w:jc w:val="both"/>
            </w:pPr>
            <w:r>
              <w:rPr>
                <w:rFonts w:ascii="仿宋_GB2312" w:hAnsi="仿宋_GB2312" w:cs="仿宋_GB2312" w:eastAsia="仿宋_GB2312"/>
                <w:sz w:val="18"/>
              </w:rPr>
              <w:t>1</w:t>
            </w:r>
            <w:r>
              <w:rPr>
                <w:rFonts w:ascii="仿宋_GB2312" w:hAnsi="仿宋_GB2312" w:cs="仿宋_GB2312" w:eastAsia="仿宋_GB2312"/>
                <w:sz w:val="18"/>
              </w:rPr>
              <w:t>、服务期限及地点</w:t>
            </w:r>
          </w:p>
          <w:p>
            <w:pPr>
              <w:pStyle w:val="null3"/>
              <w:ind w:firstLine="480"/>
              <w:jc w:val="both"/>
            </w:pPr>
            <w:r>
              <w:rPr>
                <w:rFonts w:ascii="仿宋_GB2312" w:hAnsi="仿宋_GB2312" w:cs="仿宋_GB2312" w:eastAsia="仿宋_GB2312"/>
                <w:sz w:val="18"/>
              </w:rPr>
              <w:t>☆服务期限：自合同签订生效之日起1年。</w:t>
            </w:r>
          </w:p>
          <w:p>
            <w:pPr>
              <w:pStyle w:val="null3"/>
              <w:ind w:firstLine="480"/>
              <w:jc w:val="both"/>
            </w:pPr>
            <w:r>
              <w:rPr>
                <w:rFonts w:ascii="仿宋_GB2312" w:hAnsi="仿宋_GB2312" w:cs="仿宋_GB2312" w:eastAsia="仿宋_GB2312"/>
                <w:sz w:val="18"/>
              </w:rPr>
              <w:t>☆服务地点：具体按采购人指定地点。</w:t>
            </w:r>
          </w:p>
          <w:p>
            <w:pPr>
              <w:pStyle w:val="null3"/>
              <w:ind w:firstLine="480"/>
              <w:jc w:val="both"/>
            </w:pPr>
            <w:r>
              <w:rPr>
                <w:rFonts w:ascii="仿宋_GB2312" w:hAnsi="仿宋_GB2312" w:cs="仿宋_GB2312" w:eastAsia="仿宋_GB2312"/>
                <w:sz w:val="18"/>
              </w:rPr>
              <w:t>2</w:t>
            </w:r>
            <w:r>
              <w:rPr>
                <w:rFonts w:ascii="仿宋_GB2312" w:hAnsi="仿宋_GB2312" w:cs="仿宋_GB2312" w:eastAsia="仿宋_GB2312"/>
                <w:sz w:val="18"/>
              </w:rPr>
              <w:t>、价格：</w:t>
            </w:r>
          </w:p>
          <w:p>
            <w:pPr>
              <w:pStyle w:val="null3"/>
              <w:ind w:firstLine="480"/>
              <w:jc w:val="both"/>
            </w:pPr>
            <w:r>
              <w:rPr>
                <w:rFonts w:ascii="仿宋_GB2312" w:hAnsi="仿宋_GB2312" w:cs="仿宋_GB2312" w:eastAsia="仿宋_GB2312"/>
                <w:sz w:val="18"/>
              </w:rPr>
              <w:t>☆服务费用及支付方式：合同签订后30个工作日内，采购人向成交人支付至合同金额的90%；成交人服务完成并达到采购人要求验收完成后，采购人向成交人支付合同尾款的10%，至合同价款的100%。</w:t>
            </w:r>
          </w:p>
          <w:p>
            <w:pPr>
              <w:pStyle w:val="null3"/>
              <w:ind w:firstLine="480"/>
              <w:jc w:val="both"/>
            </w:pPr>
            <w:r>
              <w:rPr>
                <w:rFonts w:ascii="仿宋_GB2312" w:hAnsi="仿宋_GB2312" w:cs="仿宋_GB2312" w:eastAsia="仿宋_GB2312"/>
                <w:sz w:val="18"/>
              </w:rPr>
              <w:t>3</w:t>
            </w:r>
            <w:r>
              <w:rPr>
                <w:rFonts w:ascii="仿宋_GB2312" w:hAnsi="仿宋_GB2312" w:cs="仿宋_GB2312" w:eastAsia="仿宋_GB2312"/>
                <w:sz w:val="18"/>
              </w:rPr>
              <w:t>、质量保证：</w:t>
            </w:r>
          </w:p>
          <w:p>
            <w:pPr>
              <w:pStyle w:val="null3"/>
              <w:ind w:firstLine="480"/>
              <w:jc w:val="both"/>
            </w:pPr>
            <w:r>
              <w:rPr>
                <w:rFonts w:ascii="仿宋_GB2312" w:hAnsi="仿宋_GB2312" w:cs="仿宋_GB2312" w:eastAsia="仿宋_GB2312"/>
                <w:sz w:val="18"/>
              </w:rPr>
              <w:t>供应商提供的服务，应全面满足磋商文件的要求，磋商文件未明确要求的内容，供应商须按采购人的补充要求为准。</w:t>
            </w:r>
          </w:p>
          <w:p>
            <w:pPr>
              <w:pStyle w:val="null3"/>
              <w:ind w:firstLine="480"/>
              <w:jc w:val="both"/>
            </w:pPr>
            <w:r>
              <w:rPr>
                <w:rFonts w:ascii="仿宋_GB2312" w:hAnsi="仿宋_GB2312" w:cs="仿宋_GB2312" w:eastAsia="仿宋_GB2312"/>
                <w:sz w:val="18"/>
              </w:rPr>
              <w:t>4</w:t>
            </w:r>
            <w:r>
              <w:rPr>
                <w:rFonts w:ascii="仿宋_GB2312" w:hAnsi="仿宋_GB2312" w:cs="仿宋_GB2312" w:eastAsia="仿宋_GB2312"/>
                <w:sz w:val="18"/>
              </w:rPr>
              <w:t>、其他</w:t>
            </w:r>
          </w:p>
          <w:p>
            <w:pPr>
              <w:pStyle w:val="null3"/>
              <w:ind w:firstLine="480"/>
              <w:jc w:val="both"/>
            </w:pPr>
            <w:r>
              <w:rPr>
                <w:rFonts w:ascii="仿宋_GB2312" w:hAnsi="仿宋_GB2312" w:cs="仿宋_GB2312" w:eastAsia="仿宋_GB2312"/>
                <w:sz w:val="18"/>
              </w:rPr>
              <w:t>（1）合同份数</w:t>
            </w:r>
          </w:p>
          <w:p>
            <w:pPr>
              <w:pStyle w:val="null3"/>
              <w:ind w:firstLine="480"/>
              <w:jc w:val="both"/>
            </w:pPr>
            <w:r>
              <w:rPr>
                <w:rFonts w:ascii="仿宋_GB2312" w:hAnsi="仿宋_GB2312" w:cs="仿宋_GB2312" w:eastAsia="仿宋_GB2312"/>
                <w:sz w:val="18"/>
              </w:rPr>
              <w:t>见正式合同。</w:t>
            </w:r>
          </w:p>
          <w:p>
            <w:pPr>
              <w:pStyle w:val="null3"/>
              <w:ind w:firstLine="480"/>
              <w:jc w:val="both"/>
            </w:pPr>
            <w:r>
              <w:rPr>
                <w:rFonts w:ascii="仿宋_GB2312" w:hAnsi="仿宋_GB2312" w:cs="仿宋_GB2312" w:eastAsia="仿宋_GB2312"/>
                <w:sz w:val="18"/>
              </w:rPr>
              <w:t>（2）补充条款</w:t>
            </w:r>
          </w:p>
          <w:p>
            <w:pPr>
              <w:pStyle w:val="null3"/>
              <w:ind w:firstLine="480"/>
              <w:jc w:val="both"/>
            </w:pPr>
            <w:r>
              <w:rPr>
                <w:rFonts w:ascii="仿宋_GB2312" w:hAnsi="仿宋_GB2312" w:cs="仿宋_GB2312" w:eastAsia="仿宋_GB2312"/>
                <w:sz w:val="18"/>
              </w:rPr>
              <w:t>具体内容以正式合同为准。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社区医保网络服务正常运行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30 个工作日内，采购人向成交人支付，达到付款条件起30个工作日内，支付合同总金额的90.0%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进度款，成交人服务完成并达到采购人要求验收完成后，采购人向成交人支付合同尾款，达到付款条件起30个工作日内，支付合同总金额的10.0%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同，依法向中标供应商进行经济索赔，并报请政府采购监督管理机关进行相应的行政处罚。采购单位违约的，应当赔偿给中标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2.本项目所属行业为软件和信息技术服务业。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年或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采购需求偏离表.docx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供应商需提供2023年1月1日以来(以合同签订日期为准)类似项目业绩合同，一份有效业绩得2分，满分10分。备注：响应文件中提供业绩合同复印件加盖公章。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响应磋商文件要求</w:t>
            </w:r>
          </w:p>
        </w:tc>
        <w:tc>
          <w:tcPr>
            <w:tcW w:type="dxa" w:w="2492"/>
          </w:tcPr>
          <w:p>
            <w:pPr>
              <w:pStyle w:val="null3"/>
            </w:pPr>
            <w:r>
              <w:rPr>
                <w:rFonts w:ascii="仿宋_GB2312" w:hAnsi="仿宋_GB2312" w:cs="仿宋_GB2312" w:eastAsia="仿宋_GB2312"/>
              </w:rPr>
              <w:t>磋商响应方案全部逐条响应磋商文件技术与服务要求得10分；负偏离一项扣2分，未逐条响应的扣3分，本项扣完为止。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分析方案</w:t>
            </w:r>
          </w:p>
        </w:tc>
        <w:tc>
          <w:tcPr>
            <w:tcW w:type="dxa" w:w="2492"/>
          </w:tcPr>
          <w:p>
            <w:pPr>
              <w:pStyle w:val="null3"/>
            </w:pPr>
            <w:r>
              <w:rPr>
                <w:rFonts w:ascii="仿宋_GB2312" w:hAnsi="仿宋_GB2312" w:cs="仿宋_GB2312" w:eastAsia="仿宋_GB2312"/>
              </w:rPr>
              <w:t>了解本项目业务需求、目标，有完整的服务需求内容分析、具有明确的服务目标，设计合理、层次清楚，能全面满足采购人需求。分析方案层次清晰，满足或优于服务需求，得15分；分析方案明确但存在瑕疵，得10分；分析方案内容简单或基本满足项目需求，得7分；分析方案缺乏针对性、 内容欠缺，得3分；未提供不得分。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网络安全保障</w:t>
            </w:r>
          </w:p>
        </w:tc>
        <w:tc>
          <w:tcPr>
            <w:tcW w:type="dxa" w:w="2492"/>
          </w:tcPr>
          <w:p>
            <w:pPr>
              <w:pStyle w:val="null3"/>
            </w:pPr>
            <w:r>
              <w:rPr>
                <w:rFonts w:ascii="仿宋_GB2312" w:hAnsi="仿宋_GB2312" w:cs="仿宋_GB2312" w:eastAsia="仿宋_GB2312"/>
              </w:rPr>
              <w:t>供应商所提供产品具备基础安全功能的，得 5 分；产品包含主要基础安全功能，少量次要安全功能缺失，不影响整体安全运行，得 3 分；仅具备部分基础安全功能，核心安全能力存在缺失，得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统一网管平台扩展能力</w:t>
            </w:r>
          </w:p>
        </w:tc>
        <w:tc>
          <w:tcPr>
            <w:tcW w:type="dxa" w:w="2492"/>
          </w:tcPr>
          <w:p>
            <w:pPr>
              <w:pStyle w:val="null3"/>
            </w:pPr>
            <w:r>
              <w:rPr>
                <w:rFonts w:ascii="仿宋_GB2312" w:hAnsi="仿宋_GB2312" w:cs="仿宋_GB2312" w:eastAsia="仿宋_GB2312"/>
              </w:rPr>
              <w:t>供应商提供的统一网管平台支持api对接， 以便后续进行扩展对接，具备此能力得4分，其余不得分。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需提供针对本项目详细的整体技术方案及线路割接方案等，整体技术方案、网络拓扑、割接方案均齐全，内容详实，各项措施可落地，完全满足项目要求，得10分；两类方案均提供，核心内容完整，仅少量细节描述简略，无关键缺失，得 7 分；两类方案均有，但内容单薄，部分保障措施缺失，基本符合项目需求，得5分；仅提供其中一类方案，或两类方案内容残缺、关键内容缺失，不影响项目基本实施，得3分；未提供不得分。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应急处理突发事件的具体措施</w:t>
            </w:r>
          </w:p>
        </w:tc>
        <w:tc>
          <w:tcPr>
            <w:tcW w:type="dxa" w:w="2492"/>
          </w:tcPr>
          <w:p>
            <w:pPr>
              <w:pStyle w:val="null3"/>
            </w:pPr>
            <w:r>
              <w:rPr>
                <w:rFonts w:ascii="仿宋_GB2312" w:hAnsi="仿宋_GB2312" w:cs="仿宋_GB2312" w:eastAsia="仿宋_GB2312"/>
              </w:rPr>
              <w:t>供应商需提供针对本项目应急处理突发事件的具体措施：在处理人员中途离职及其他特殊事件和紧急、突发事故制定详细、全面的各项处置措施。措施内容科学详细、明确具体得5分；措施内容科学明确但存在瑕疵的得3分；措施内容缺失或者描述不详细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拟投入本项目负责人</w:t>
            </w:r>
          </w:p>
        </w:tc>
        <w:tc>
          <w:tcPr>
            <w:tcW w:type="dxa" w:w="2492"/>
          </w:tcPr>
          <w:p>
            <w:pPr>
              <w:pStyle w:val="null3"/>
            </w:pPr>
            <w:r>
              <w:rPr>
                <w:rFonts w:ascii="仿宋_GB2312" w:hAnsi="仿宋_GB2312" w:cs="仿宋_GB2312" w:eastAsia="仿宋_GB2312"/>
              </w:rPr>
              <w:t>供应商需提供拟投入本项目负责人姓名、年龄、学历、职位、毕业证书、项目经历等，具有项目类证书。提供信息完善得5分，信息不完善得2分，未提供信息不得分。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拟投入本项目组成员</w:t>
            </w:r>
          </w:p>
        </w:tc>
        <w:tc>
          <w:tcPr>
            <w:tcW w:type="dxa" w:w="2492"/>
          </w:tcPr>
          <w:p>
            <w:pPr>
              <w:pStyle w:val="null3"/>
            </w:pPr>
            <w:r>
              <w:rPr>
                <w:rFonts w:ascii="仿宋_GB2312" w:hAnsi="仿宋_GB2312" w:cs="仿宋_GB2312" w:eastAsia="仿宋_GB2312"/>
              </w:rPr>
              <w:t>供应商需提供拟投入本项目组成员名单，包括姓名、年龄、学历、职位、毕业证书、项目经历等。人员信息资料完整，方案内容完整，描述清晰，且能针对性满足项目需求，人员配备齐全、分工合理、责任明确，得8分；人员配备较全、分工较合理、责任较明确，得6分；人员配备薄弱，结构单一得4分；人员配备不足、分工不合理、责任不明确，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按照磋商文件的采购内容、服务要求、商务要求等制定运维服务方案， 内容高度契合本项目实际需求，方案设计逻辑严谨、深入细致、切实可行得5分，部分内容存在明显不足（如过于简略、关键要素缺失）或契合度一般案可行性基本可接受，但可能在资源配置、流程细节或风险应对方面考虑不够周全的3分，未提供运维服务方案，或提供的方案与招标要求完全不相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供应商提供完善的技术培训，具有详细的培训计划、人员等安排。方案完整且具有符合实际需求的得 6 分，计划不够详细，人员安排有误、缺乏关键细节得3分，没有技术培训计划不得分。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供应商提供针对本项目的售后服务方案，包含人员配备、售后服务、技术支持、应急保障措施等，售后服务方案合理，完善得7分；方案明确但存在瑕疵不完整的得5分；售后服务方案缺乏针对性、 内容欠缺，得3分；未提供不得分。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有效投标最低报价为基准价得满分10分；其他各投标供应商的报价得分按下列公式计算： （基准价/投标报价） ×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