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版本号：YCK2026-GC-003.1B120260820001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佛坪县大河坝镇高家梁移民安置区配套基础设施建设项目(二次)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YCK2026-GC-003.1B1</w:t>
      </w:r>
      <w:r>
        <w:br/>
      </w:r>
      <w:r>
        <w:br/>
      </w:r>
      <w:r>
        <w:br/>
      </w:r>
    </w:p>
    <w:p>
      <w:pPr>
        <w:pStyle w:val="null3"/>
        <w:jc w:val="center"/>
        <w:outlineLvl w:val="2"/>
      </w:pPr>
      <w:r>
        <w:rPr>
          <w:rFonts w:ascii="仿宋_GB2312" w:hAnsi="仿宋_GB2312" w:cs="仿宋_GB2312" w:eastAsia="仿宋_GB2312"/>
          <w:sz w:val="28"/>
          <w:b/>
        </w:rPr>
        <w:t>佛坪县大河坝镇人民政府</w:t>
      </w:r>
    </w:p>
    <w:p>
      <w:pPr>
        <w:pStyle w:val="null3"/>
        <w:jc w:val="center"/>
        <w:outlineLvl w:val="2"/>
      </w:pPr>
      <w:r>
        <w:rPr>
          <w:rFonts w:ascii="仿宋_GB2312" w:hAnsi="仿宋_GB2312" w:cs="仿宋_GB2312" w:eastAsia="仿宋_GB2312"/>
          <w:sz w:val="28"/>
          <w:b/>
        </w:rPr>
        <w:t>陕西优程控项目管理有限公司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陕西优程控项目管理有限公司</w:t>
      </w:r>
      <w:r>
        <w:rPr>
          <w:rFonts w:ascii="仿宋_GB2312" w:hAnsi="仿宋_GB2312" w:cs="仿宋_GB2312" w:eastAsia="仿宋_GB2312"/>
        </w:rPr>
        <w:t>（以下简称“代理机构”）受</w:t>
      </w:r>
      <w:r>
        <w:rPr>
          <w:rFonts w:ascii="仿宋_GB2312" w:hAnsi="仿宋_GB2312" w:cs="仿宋_GB2312" w:eastAsia="仿宋_GB2312"/>
        </w:rPr>
        <w:t>佛坪县大河坝镇人民政府</w:t>
      </w:r>
      <w:r>
        <w:rPr>
          <w:rFonts w:ascii="仿宋_GB2312" w:hAnsi="仿宋_GB2312" w:cs="仿宋_GB2312" w:eastAsia="仿宋_GB2312"/>
        </w:rPr>
        <w:t>委托，拟对</w:t>
      </w:r>
      <w:r>
        <w:rPr>
          <w:rFonts w:ascii="仿宋_GB2312" w:hAnsi="仿宋_GB2312" w:cs="仿宋_GB2312" w:eastAsia="仿宋_GB2312"/>
        </w:rPr>
        <w:t>佛坪县大河坝镇高家梁移民安置区配套基础设施建设项目(二次)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YCK2026-GC-003.1B1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佛坪县大河坝镇高家梁移民安置区配套基础设施建设项目(二次)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佛坪县大河坝镇高家梁移民安置区配套基础设施建设项目建设内容：新建柴火房100间1202平方米;新建安置区文化体育场地1942平方米包括环境治理1500平方米，安装全民健身器材20套，硬化地面1000平方米。2、本项目严格落实《国家以工代赈管理办法》要求，在工程实施过程中采取“农村公益性基础设施建设+劳务报酬发放+就业技能培训+公益性岗位设置”的综合赈济模式实施项目建设，保证工程质量的前提下，能用人工尽量不用机械，能用当地群众尽量不用专业施工队伍。本项目将带动当地务工群众不低于73人，其中劳务报酬发放不低于95.5万元（占后续扶持省级资金的41.52%），开展技能培训73人次,设置公益性岗位2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采购包1（佛坪县大河坝镇高家梁移民安置区配套基础设施建设项目）：属于专门面向中小企业采购。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2、法定代表人或委托代理人身份证明：法定代表人参加磋商的，须提供《法定代表人身份证明书》；法定代表人授权他人参加磋商的，须提供《法定代表人授权委托书》及委托代理人身份证复印件； 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3、供应商资质：供应商应具备建设行政主管部门核发的建筑工程施工总承包三级及以上资质，并具有有效的安全生产许可证；供应商需在项目电子化交易系统中按要求上传相应证明文件并进行电子签章。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负责人资质：供应商拟派项目负责人具有建筑工程专业二级及以上注册建造师执业资格，并具有有效的安全生产考核合格B证证书，在本单位注册，且未担任其他在建工程项目的项目负责人(提供无在建项目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6、非联合体磋商：本项目不接受联合体磋商，单位负责人为同一人或者存在直接控股、管理关系的不同供应商，不得参加同一合同项下的政府采购活动（提供非联合体声明函）；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佛坪县大河坝镇人民政府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佛坪县大河坝镇五四村新街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佛坪县大河坝镇人民政府经办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18729612225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陕西优程控项目管理有限公司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陕西省汉中市南郑区大河坎镇智慧江南小区五期21号楼一层118铺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李纪红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18591601813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采购包1：2,299,144.25元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开户名称：陕西优程控项目管理有限公司</w:t>
            </w:r>
          </w:p>
          <w:p>
            <w:pPr>
              <w:pStyle w:val="null3"/>
            </w:pPr>
            <w:r>
              <w:rPr>
                <w:rFonts w:ascii="仿宋_GB2312" w:hAnsi="仿宋_GB2312" w:cs="仿宋_GB2312" w:eastAsia="仿宋_GB2312"/>
              </w:rPr>
              <w:t>开户银行：中国建设银行股份有限公司汉中南郑区龙岗路支行</w:t>
            </w:r>
          </w:p>
          <w:p>
            <w:pPr>
              <w:pStyle w:val="null3"/>
            </w:pPr>
            <w:r>
              <w:rPr>
                <w:rFonts w:ascii="仿宋_GB2312" w:hAnsi="仿宋_GB2312" w:cs="仿宋_GB2312" w:eastAsia="仿宋_GB2312"/>
              </w:rPr>
              <w:t>银行账号：61050110066800001087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佛坪县大河坝镇人民政府</w:t>
      </w:r>
      <w:r>
        <w:rPr>
          <w:rFonts w:ascii="仿宋_GB2312" w:hAnsi="仿宋_GB2312" w:cs="仿宋_GB2312" w:eastAsia="仿宋_GB2312"/>
        </w:rPr>
        <w:t>和</w:t>
      </w:r>
      <w:r>
        <w:rPr>
          <w:rFonts w:ascii="仿宋_GB2312" w:hAnsi="仿宋_GB2312" w:cs="仿宋_GB2312" w:eastAsia="仿宋_GB2312"/>
        </w:rPr>
        <w:t>陕西优程控项目管理有限公司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佛坪县大河坝镇人民政府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陕西优程控项目管理有限公司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佛坪县大河坝镇人民政府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陕西优程控项目管理有限公司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详⻅竞争性磋商⽂件、合同、相关法律法规要求、⾏业标准及采购⼈要求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陕西优程控项目管理有限公司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陕西优程控项目管理有限公司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陕西优程控项目管理有限公司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联系人：李纪红</w:t>
      </w:r>
    </w:p>
    <w:p>
      <w:pPr>
        <w:pStyle w:val="null3"/>
      </w:pPr>
      <w:r>
        <w:rPr>
          <w:rFonts w:ascii="仿宋_GB2312" w:hAnsi="仿宋_GB2312" w:cs="仿宋_GB2312" w:eastAsia="仿宋_GB2312"/>
        </w:rPr>
        <w:t>联系电话：18591601813</w:t>
      </w:r>
    </w:p>
    <w:p>
      <w:pPr>
        <w:pStyle w:val="null3"/>
      </w:pPr>
      <w:r>
        <w:rPr>
          <w:rFonts w:ascii="仿宋_GB2312" w:hAnsi="仿宋_GB2312" w:cs="仿宋_GB2312" w:eastAsia="仿宋_GB2312"/>
        </w:rPr>
        <w:t>地址：陕西省汉中市南郑区大河坎镇智慧江南小区五期21号楼一层118铺</w:t>
      </w:r>
    </w:p>
    <w:p>
      <w:pPr>
        <w:pStyle w:val="null3"/>
      </w:pPr>
      <w:r>
        <w:rPr>
          <w:rFonts w:ascii="仿宋_GB2312" w:hAnsi="仿宋_GB2312" w:cs="仿宋_GB2312" w:eastAsia="仿宋_GB2312"/>
        </w:rPr>
        <w:t>邮编：723102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2,299,144.25</w:t>
      </w:r>
    </w:p>
    <w:p>
      <w:pPr>
        <w:pStyle w:val="null3"/>
      </w:pPr>
      <w:r>
        <w:rPr>
          <w:rFonts w:ascii="仿宋_GB2312" w:hAnsi="仿宋_GB2312" w:cs="仿宋_GB2312" w:eastAsia="仿宋_GB2312"/>
        </w:rPr>
        <w:t>采购包最高限价（元）: 2,299,144.25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汉中市佛坪县大河坝镇高家梁移民安置区配套基础设施建设项目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2,299,144.25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标的名称：汉中市佛坪县大河坝镇高家梁移民安置区配套基础设施建设项目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1"/>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工程概况</w:t>
            </w:r>
          </w:p>
          <w:p>
            <w:pPr>
              <w:pStyle w:val="null3"/>
              <w:ind w:firstLine="420"/>
              <w:jc w:val="both"/>
            </w:pPr>
            <w:r>
              <w:rPr>
                <w:rFonts w:ascii="仿宋_GB2312" w:hAnsi="仿宋_GB2312" w:cs="仿宋_GB2312" w:eastAsia="仿宋_GB2312"/>
                <w:sz w:val="21"/>
                <w:color w:val="000000"/>
              </w:rPr>
              <w:t>佛坪县大河坝镇高家梁移民安置区配套基础设施建设项目</w:t>
            </w:r>
            <w:r>
              <w:rPr>
                <w:rFonts w:ascii="仿宋_GB2312" w:hAnsi="仿宋_GB2312" w:cs="仿宋_GB2312" w:eastAsia="仿宋_GB2312"/>
                <w:sz w:val="21"/>
                <w:color w:val="000000"/>
              </w:rPr>
              <w:t>，建设地点位于汉中市佛坪县大河坝镇十亩地村</w:t>
            </w:r>
            <w:r>
              <w:rPr>
                <w:rFonts w:ascii="仿宋_GB2312" w:hAnsi="仿宋_GB2312" w:cs="仿宋_GB2312" w:eastAsia="仿宋_GB2312"/>
                <w:sz w:val="21"/>
                <w:color w:val="000000"/>
              </w:rPr>
              <w:t>,</w:t>
            </w:r>
            <w:r>
              <w:rPr>
                <w:rFonts w:ascii="仿宋_GB2312" w:hAnsi="仿宋_GB2312" w:cs="仿宋_GB2312" w:eastAsia="仿宋_GB2312"/>
                <w:sz w:val="21"/>
                <w:color w:val="000000"/>
              </w:rPr>
              <w:t>建设规模和内容</w:t>
            </w:r>
            <w:r>
              <w:rPr>
                <w:rFonts w:ascii="仿宋_GB2312" w:hAnsi="仿宋_GB2312" w:cs="仿宋_GB2312" w:eastAsia="仿宋_GB2312"/>
                <w:sz w:val="21"/>
                <w:color w:val="000000"/>
              </w:rPr>
              <w:t>:新建柴火房100间1202平方米;新建安置区文化体育场地1942平方米，包括环境治理1500平方米，安装全民健身器材20套，硬化地面1000平方米</w:t>
            </w:r>
            <w:r>
              <w:rPr>
                <w:rFonts w:ascii="仿宋_GB2312" w:hAnsi="仿宋_GB2312" w:cs="仿宋_GB2312" w:eastAsia="仿宋_GB2312"/>
                <w:sz w:val="21"/>
                <w:color w:val="000000"/>
              </w:rPr>
              <w:t>。</w:t>
            </w:r>
          </w:p>
          <w:p>
            <w:pPr>
              <w:pStyle w:val="null3"/>
              <w:ind w:firstLine="211"/>
              <w:jc w:val="both"/>
            </w:pPr>
            <w:r>
              <w:rPr>
                <w:rFonts w:ascii="仿宋_GB2312" w:hAnsi="仿宋_GB2312" w:cs="仿宋_GB2312" w:eastAsia="仿宋_GB2312"/>
                <w:sz w:val="21"/>
                <w:b/>
                <w:color w:val="000000"/>
              </w:rPr>
              <w:t>二、供应商需提供以工代赈实施承诺函</w:t>
            </w:r>
            <w:r>
              <w:rPr>
                <w:rFonts w:ascii="仿宋_GB2312" w:hAnsi="仿宋_GB2312" w:cs="仿宋_GB2312" w:eastAsia="仿宋_GB2312"/>
                <w:sz w:val="21"/>
                <w:color w:val="000000"/>
              </w:rPr>
              <w:t>（格式详见附件）</w:t>
            </w:r>
          </w:p>
          <w:p>
            <w:pPr>
              <w:pStyle w:val="null3"/>
              <w:ind w:firstLine="211"/>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color w:val="000000"/>
              </w:rPr>
              <w:t>商务要求</w:t>
            </w:r>
            <w:r>
              <w:rPr>
                <w:rFonts w:ascii="仿宋_GB2312" w:hAnsi="仿宋_GB2312" w:cs="仿宋_GB2312" w:eastAsia="仿宋_GB2312"/>
                <w:sz w:val="21"/>
                <w:color w:val="000000"/>
              </w:rPr>
              <w:t>（本项为实质性响应要求，不得负偏离）</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、计划</w:t>
            </w:r>
            <w:r>
              <w:rPr>
                <w:rFonts w:ascii="仿宋_GB2312" w:hAnsi="仿宋_GB2312" w:cs="仿宋_GB2312" w:eastAsia="仿宋_GB2312"/>
                <w:sz w:val="21"/>
                <w:color w:val="000000"/>
              </w:rPr>
              <w:t>工期：合同签订</w:t>
            </w:r>
            <w:r>
              <w:rPr>
                <w:rFonts w:ascii="仿宋_GB2312" w:hAnsi="仿宋_GB2312" w:cs="仿宋_GB2312" w:eastAsia="仿宋_GB2312"/>
                <w:sz w:val="21"/>
                <w:color w:val="000000"/>
              </w:rPr>
              <w:t>之日起</w:t>
            </w:r>
            <w:r>
              <w:rPr>
                <w:rFonts w:ascii="仿宋_GB2312" w:hAnsi="仿宋_GB2312" w:cs="仿宋_GB2312" w:eastAsia="仿宋_GB2312"/>
                <w:sz w:val="21"/>
                <w:color w:val="000000"/>
              </w:rPr>
              <w:t>90日历天内完工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质量要求：符合国家现行有关施工质量验收规范</w:t>
            </w:r>
            <w:r>
              <w:rPr>
                <w:rFonts w:ascii="仿宋_GB2312" w:hAnsi="仿宋_GB2312" w:cs="仿宋_GB2312" w:eastAsia="仿宋_GB2312"/>
                <w:sz w:val="21"/>
                <w:color w:val="000000"/>
              </w:rPr>
              <w:t>“合格”要求。</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缺陷责任期：工程验收合格后两年；质量保修期：自竣工验收合格之日起满两年。</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漏项处理：施工过程中发现工程量清单中存在漏项工程的，该漏项工程作为本项目采购的组成部分，采购人和供应商可以按照双方合同的规定协商解决。</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合同支付约定：</w:t>
            </w:r>
            <w:r>
              <w:rPr>
                <w:rFonts w:ascii="仿宋_GB2312" w:hAnsi="仿宋_GB2312" w:cs="仿宋_GB2312" w:eastAsia="仿宋_GB2312"/>
                <w:sz w:val="21"/>
                <w:color w:val="000000"/>
              </w:rPr>
              <w:t>分期付款</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1</w:t>
            </w:r>
            <w:r>
              <w:rPr>
                <w:rFonts w:ascii="仿宋_GB2312" w:hAnsi="仿宋_GB2312" w:cs="仿宋_GB2312" w:eastAsia="仿宋_GB2312"/>
              </w:rPr>
              <w:t xml:space="preserve"> </w:t>
            </w:r>
            <w:r>
              <w:rPr>
                <w:rFonts w:ascii="仿宋_GB2312" w:hAnsi="仿宋_GB2312" w:cs="仿宋_GB2312" w:eastAsia="仿宋_GB2312"/>
                <w:sz w:val="21"/>
                <w:color w:val="000000"/>
              </w:rPr>
              <w:t>进度款，合同签订后</w:t>
            </w:r>
            <w:r>
              <w:rPr>
                <w:rFonts w:ascii="仿宋_GB2312" w:hAnsi="仿宋_GB2312" w:cs="仿宋_GB2312" w:eastAsia="仿宋_GB2312"/>
                <w:sz w:val="21"/>
                <w:color w:val="000000"/>
              </w:rPr>
              <w:t>10个工作日内，达到付款条件起3个工作日内，支付合同总金额的</w:t>
            </w:r>
            <w:r>
              <w:rPr>
                <w:rFonts w:ascii="仿宋_GB2312" w:hAnsi="仿宋_GB2312" w:cs="仿宋_GB2312" w:eastAsia="仿宋_GB2312"/>
                <w:sz w:val="21"/>
                <w:color w:val="000000"/>
              </w:rPr>
              <w:t>3</w:t>
            </w:r>
            <w:r>
              <w:rPr>
                <w:rFonts w:ascii="仿宋_GB2312" w:hAnsi="仿宋_GB2312" w:cs="仿宋_GB2312" w:eastAsia="仿宋_GB2312"/>
                <w:sz w:val="21"/>
                <w:color w:val="000000"/>
              </w:rPr>
              <w:t>0.0%</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2</w:t>
            </w:r>
            <w:r>
              <w:rPr>
                <w:rFonts w:ascii="仿宋_GB2312" w:hAnsi="仿宋_GB2312" w:cs="仿宋_GB2312" w:eastAsia="仿宋_GB2312"/>
              </w:rPr>
              <w:t xml:space="preserve"> </w:t>
            </w:r>
            <w:r>
              <w:rPr>
                <w:rFonts w:ascii="仿宋_GB2312" w:hAnsi="仿宋_GB2312" w:cs="仿宋_GB2312" w:eastAsia="仿宋_GB2312"/>
                <w:sz w:val="21"/>
                <w:color w:val="000000"/>
              </w:rPr>
              <w:t>进度款，工程进度款按照形象进度分阶段支付，达到付款条件起</w:t>
            </w:r>
            <w:r>
              <w:rPr>
                <w:rFonts w:ascii="仿宋_GB2312" w:hAnsi="仿宋_GB2312" w:cs="仿宋_GB2312" w:eastAsia="仿宋_GB2312"/>
                <w:sz w:val="21"/>
                <w:color w:val="000000"/>
              </w:rPr>
              <w:t>3个工作日</w:t>
            </w:r>
            <w:r>
              <w:rPr>
                <w:rFonts w:ascii="仿宋_GB2312" w:hAnsi="仿宋_GB2312" w:cs="仿宋_GB2312" w:eastAsia="仿宋_GB2312"/>
                <w:sz w:val="21"/>
                <w:color w:val="000000"/>
              </w:rPr>
              <w:t>内，支付合同总金额的</w:t>
            </w:r>
            <w:r>
              <w:rPr>
                <w:rFonts w:ascii="仿宋_GB2312" w:hAnsi="仿宋_GB2312" w:cs="仿宋_GB2312" w:eastAsia="仿宋_GB2312"/>
                <w:sz w:val="21"/>
                <w:color w:val="000000"/>
              </w:rPr>
              <w:t>60</w:t>
            </w:r>
            <w:r>
              <w:rPr>
                <w:rFonts w:ascii="仿宋_GB2312" w:hAnsi="仿宋_GB2312" w:cs="仿宋_GB2312" w:eastAsia="仿宋_GB2312"/>
                <w:sz w:val="21"/>
                <w:color w:val="000000"/>
              </w:rPr>
              <w:t>.0%</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3</w:t>
            </w:r>
            <w:r>
              <w:rPr>
                <w:rFonts w:ascii="仿宋_GB2312" w:hAnsi="仿宋_GB2312" w:cs="仿宋_GB2312" w:eastAsia="仿宋_GB2312"/>
              </w:rPr>
              <w:t xml:space="preserve"> </w:t>
            </w:r>
            <w:r>
              <w:rPr>
                <w:rFonts w:ascii="仿宋_GB2312" w:hAnsi="仿宋_GB2312" w:cs="仿宋_GB2312" w:eastAsia="仿宋_GB2312"/>
                <w:sz w:val="21"/>
                <w:color w:val="000000"/>
              </w:rPr>
              <w:t>进度款，工程竣工、结算、审计、验收后，达到付款条件起</w:t>
            </w:r>
            <w:r>
              <w:rPr>
                <w:rFonts w:ascii="仿宋_GB2312" w:hAnsi="仿宋_GB2312" w:cs="仿宋_GB2312" w:eastAsia="仿宋_GB2312"/>
                <w:sz w:val="21"/>
                <w:color w:val="000000"/>
              </w:rPr>
              <w:t>3个工作日内，支付合同总金额的</w:t>
            </w:r>
            <w:r>
              <w:rPr>
                <w:rFonts w:ascii="仿宋_GB2312" w:hAnsi="仿宋_GB2312" w:cs="仿宋_GB2312" w:eastAsia="仿宋_GB2312"/>
                <w:sz w:val="21"/>
                <w:color w:val="000000"/>
              </w:rPr>
              <w:t>10</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施工要求：</w:t>
            </w:r>
          </w:p>
          <w:p>
            <w:pPr>
              <w:pStyle w:val="null3"/>
              <w:jc w:val="both"/>
            </w:pPr>
            <w:r>
              <w:rPr>
                <w:rFonts w:ascii="仿宋_GB2312" w:hAnsi="仿宋_GB2312" w:cs="仿宋_GB2312" w:eastAsia="仿宋_GB2312"/>
                <w:sz w:val="21"/>
                <w:color w:val="000000"/>
              </w:rPr>
              <w:t>6.1 遵守国家相关法律、法规，遵守国家相关技术规范；</w:t>
            </w:r>
          </w:p>
          <w:p>
            <w:pPr>
              <w:pStyle w:val="null3"/>
              <w:jc w:val="both"/>
            </w:pPr>
            <w:r>
              <w:rPr>
                <w:rFonts w:ascii="仿宋_GB2312" w:hAnsi="仿宋_GB2312" w:cs="仿宋_GB2312" w:eastAsia="仿宋_GB2312"/>
                <w:sz w:val="21"/>
                <w:color w:val="000000"/>
              </w:rPr>
              <w:t>6.2 所选材料必须保证质量可靠、进货渠道正常，符合国家环保等相关标准，满足施工要求；</w:t>
            </w:r>
          </w:p>
          <w:p>
            <w:pPr>
              <w:pStyle w:val="null3"/>
              <w:jc w:val="both"/>
            </w:pPr>
            <w:r>
              <w:rPr>
                <w:rFonts w:ascii="仿宋_GB2312" w:hAnsi="仿宋_GB2312" w:cs="仿宋_GB2312" w:eastAsia="仿宋_GB2312"/>
                <w:sz w:val="21"/>
                <w:color w:val="000000"/>
              </w:rPr>
              <w:t>6.3 工程质量符合国家有关规范，确保达到合格；</w:t>
            </w:r>
          </w:p>
          <w:p>
            <w:pPr>
              <w:pStyle w:val="null3"/>
              <w:jc w:val="both"/>
            </w:pPr>
            <w:r>
              <w:rPr>
                <w:rFonts w:ascii="仿宋_GB2312" w:hAnsi="仿宋_GB2312" w:cs="仿宋_GB2312" w:eastAsia="仿宋_GB2312"/>
                <w:sz w:val="21"/>
                <w:color w:val="000000"/>
              </w:rPr>
              <w:t>6.4 遵守有关施工规范和安全操作规程，采取有效的安全保障措施，确保施工安全，包括悬挂警示标牌、装设围栏、配备安全人员等，并承担事故的全部费用和责任；</w:t>
            </w:r>
          </w:p>
          <w:p>
            <w:pPr>
              <w:pStyle w:val="null3"/>
              <w:jc w:val="both"/>
            </w:pPr>
            <w:r>
              <w:rPr>
                <w:rFonts w:ascii="仿宋_GB2312" w:hAnsi="仿宋_GB2312" w:cs="仿宋_GB2312" w:eastAsia="仿宋_GB2312"/>
                <w:sz w:val="21"/>
                <w:color w:val="000000"/>
              </w:rPr>
              <w:t>6.5 施工单位必须服从当地对治安、卫生、环保、社会保险等工程建设的统一管理，并按有关规定交纳费用以及因违反相关规定而造成的罚款；</w:t>
            </w:r>
          </w:p>
          <w:p>
            <w:pPr>
              <w:pStyle w:val="null3"/>
              <w:jc w:val="both"/>
            </w:pPr>
            <w:r>
              <w:rPr>
                <w:rFonts w:ascii="仿宋_GB2312" w:hAnsi="仿宋_GB2312" w:cs="仿宋_GB2312" w:eastAsia="仿宋_GB2312"/>
                <w:sz w:val="21"/>
                <w:color w:val="000000"/>
              </w:rPr>
              <w:t>6.6 本工程不允许转包；</w:t>
            </w:r>
          </w:p>
          <w:p>
            <w:pPr>
              <w:pStyle w:val="null3"/>
              <w:jc w:val="both"/>
            </w:pPr>
            <w:r>
              <w:rPr>
                <w:rFonts w:ascii="仿宋_GB2312" w:hAnsi="仿宋_GB2312" w:cs="仿宋_GB2312" w:eastAsia="仿宋_GB2312"/>
                <w:sz w:val="21"/>
                <w:color w:val="000000"/>
              </w:rPr>
              <w:t>6.7 供应商自行办理垃圾清理手续，遵守当地政府垃圾分类处理有关规定，承担自行处置不当导致的全部费用和责任。</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质量验收标准或规范：</w:t>
            </w:r>
          </w:p>
          <w:p>
            <w:pPr>
              <w:pStyle w:val="null3"/>
              <w:jc w:val="both"/>
            </w:pPr>
            <w:r>
              <w:rPr>
                <w:rFonts w:ascii="仿宋_GB2312" w:hAnsi="仿宋_GB2312" w:cs="仿宋_GB2312" w:eastAsia="仿宋_GB2312"/>
                <w:sz w:val="21"/>
                <w:color w:val="000000"/>
              </w:rPr>
              <w:t>7.1 国家现行有关法律、法规、环保和技术指标；</w:t>
            </w:r>
          </w:p>
          <w:p>
            <w:pPr>
              <w:pStyle w:val="null3"/>
              <w:jc w:val="both"/>
            </w:pPr>
            <w:r>
              <w:rPr>
                <w:rFonts w:ascii="仿宋_GB2312" w:hAnsi="仿宋_GB2312" w:cs="仿宋_GB2312" w:eastAsia="仿宋_GB2312"/>
                <w:sz w:val="21"/>
                <w:color w:val="000000"/>
              </w:rPr>
              <w:t>7.2 本项目施工合同；</w:t>
            </w:r>
          </w:p>
          <w:p>
            <w:pPr>
              <w:pStyle w:val="null3"/>
              <w:jc w:val="both"/>
            </w:pPr>
            <w:r>
              <w:rPr>
                <w:rFonts w:ascii="仿宋_GB2312" w:hAnsi="仿宋_GB2312" w:cs="仿宋_GB2312" w:eastAsia="仿宋_GB2312"/>
                <w:sz w:val="21"/>
                <w:color w:val="000000"/>
              </w:rPr>
              <w:t>7.3 经批准的设计文件及工程变更文件；</w:t>
            </w:r>
          </w:p>
          <w:p>
            <w:pPr>
              <w:pStyle w:val="null3"/>
              <w:jc w:val="both"/>
            </w:pPr>
            <w:r>
              <w:rPr>
                <w:rFonts w:ascii="仿宋_GB2312" w:hAnsi="仿宋_GB2312" w:cs="仿宋_GB2312" w:eastAsia="仿宋_GB2312"/>
                <w:sz w:val="21"/>
                <w:color w:val="000000"/>
              </w:rPr>
              <w:t>7.4 有关部政府部门的规定。</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项目检验与验收：</w:t>
            </w:r>
          </w:p>
          <w:p>
            <w:pPr>
              <w:pStyle w:val="null3"/>
              <w:jc w:val="both"/>
            </w:pPr>
            <w:r>
              <w:rPr>
                <w:rFonts w:ascii="仿宋_GB2312" w:hAnsi="仿宋_GB2312" w:cs="仿宋_GB2312" w:eastAsia="仿宋_GB2312"/>
                <w:sz w:val="21"/>
                <w:color w:val="000000"/>
              </w:rPr>
              <w:t>8.1 成交供应商向采购人提交项目实施过程中的所有资料；</w:t>
            </w:r>
          </w:p>
          <w:p>
            <w:pPr>
              <w:pStyle w:val="null3"/>
              <w:jc w:val="both"/>
            </w:pPr>
            <w:r>
              <w:rPr>
                <w:rFonts w:ascii="仿宋_GB2312" w:hAnsi="仿宋_GB2312" w:cs="仿宋_GB2312" w:eastAsia="仿宋_GB2312"/>
                <w:sz w:val="21"/>
                <w:color w:val="000000"/>
              </w:rPr>
              <w:t>8.2 验收须以合同、磋商文件及响应文件、澄清、及国家相应的标准、规范等为依据。</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合同的变更、中止、终止：合同一经签订，不得擅自变更、中止或者终止合同。对确需变更、调整或者中止、终止合同的，由双方协商解决。</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合同争议的处理：合同在履行过程中发生的争议，当事人双方应协商解决，协商达不成一致时，可向采购方所在地仲裁委员会申请仲裁或者向人民法院提请诉讼。</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违约责任：</w:t>
            </w:r>
          </w:p>
          <w:p>
            <w:pPr>
              <w:pStyle w:val="null3"/>
              <w:jc w:val="both"/>
            </w:pPr>
            <w:r>
              <w:rPr>
                <w:rFonts w:ascii="仿宋_GB2312" w:hAnsi="仿宋_GB2312" w:cs="仿宋_GB2312" w:eastAsia="仿宋_GB2312"/>
                <w:sz w:val="21"/>
                <w:color w:val="000000"/>
              </w:rPr>
              <w:t>11.1 按《中华人民共和国政府采购法》《中华人民共和国民法典》中的相关条款执行；</w:t>
            </w:r>
          </w:p>
          <w:p>
            <w:pPr>
              <w:pStyle w:val="null3"/>
            </w:pPr>
            <w:r>
              <w:rPr>
                <w:rFonts w:ascii="仿宋_GB2312" w:hAnsi="仿宋_GB2312" w:cs="仿宋_GB2312" w:eastAsia="仿宋_GB2312"/>
                <w:sz w:val="21"/>
                <w:color w:val="000000"/>
              </w:rPr>
              <w:t>11.2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2.成交供应商在采购结果发布后3个工作日内向代理机构提交纸质版响应文件以便于存档，响应文件正本1份，副本2份，电子版文件2份（U盘）。纸质响应文件均须A4纸打印，分别各自装订成册。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法定代表人参加磋商的，须提供《法定代表人身份证明书》；法定代表人授权他人参加磋商的，须提供《法定代表人授权委托书》及委托代理人身份证复印件；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供应商应具备建设行政主管部门核发的建筑工程施工总承包三级及以上资质，并具有有效的安全生产许可证；供应商需在项目电子化交易系统中按要求上传相应证明文件并进行电子签章。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供应商拟派项目负责人具有建筑工程专业二级及以上注册建造师执业资格，并具有有效的安全生产考核合格B证证书，在本单位注册，且未担任其他在建工程项目的项目负责人(提供无在建项目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本项目不接受联合体磋商，单位负责人为同一人或者存在直接控股、管理关系的不同供应商，不得参加同一合同项下的政府采购活动（提供非联合体声明函）；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以工代赈实施承诺函.docx 已标价工程量清单 供应商认为需要提供的其他相关证明材料.docx 中小企业声明函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报价唯一，不得提交选择性报价，且报价不超过最高限价。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供应商认为需要提供的其他相关证明材料.docx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以工代赈实施承诺函</w:t>
            </w:r>
          </w:p>
        </w:tc>
        <w:tc>
          <w:tcPr>
            <w:tcW w:type="dxa" w:w="3322"/>
          </w:tcPr>
          <w:p>
            <w:pPr>
              <w:pStyle w:val="null3"/>
            </w:pPr>
            <w:r>
              <w:rPr>
                <w:rFonts w:ascii="仿宋_GB2312" w:hAnsi="仿宋_GB2312" w:cs="仿宋_GB2312" w:eastAsia="仿宋_GB2312"/>
              </w:rPr>
              <w:t xml:space="preserve"> 应符合磋商文件要求</w:t>
            </w:r>
          </w:p>
        </w:tc>
        <w:tc>
          <w:tcPr>
            <w:tcW w:type="dxa" w:w="1661"/>
          </w:tcPr>
          <w:p>
            <w:pPr>
              <w:pStyle w:val="null3"/>
            </w:pPr>
            <w:r>
              <w:rPr>
                <w:rFonts w:ascii="仿宋_GB2312" w:hAnsi="仿宋_GB2312" w:cs="仿宋_GB2312" w:eastAsia="仿宋_GB2312"/>
              </w:rPr>
              <w:t>以工代赈实施承诺函.docx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响应人针对本项目提供施工方案，包括但不限于：①施工准备；②关键工序的施工方法及实施要点；③工程重点难点分析及解决措施；④管理制度；⑤施工现场平面布置。二、评审标准： 1.完整、针对性：内容须全面，对评审内容中的各项要求有详细描述，方案能够紧扣项目实际情况，内容科学合理。 2.可实施性：切合本项目实际情况，实施步骤清晰、合理。 上述5项评审内容每一项都全部满足评审标准得10分，每有一项评审内容缺项扣2分，每一项评审内容中每出现一处缺陷扣1分，扣完为止。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响应人针对本项目提供施工部署，包括但不限于：①施工目标:质量目标、安全目标、工期目标、环保目标;②材料设备投入计划（主材供应、机械进场计划）；③劳动力配备计划（含管理人员、作业班组及相关技工人员的专业搭配、工作内容配置、人员数量）计划。二、评审标准： 1.完整、针对性：内容须全面，对评审内容中的各项要求有详细描述，方案能够紧扣项目实际情况，内容科学合理。 2.可实施性：切合本项目实际情况，实施步骤清晰、合理。 上述3项评审内容每一项都全部满足评审标准得6分，每有一项评审内容缺项扣2分，每一项评审内容中每出现一处缺陷扣1分，扣完为止。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一、评审内容：响应人针对本项目提供确保工期的技术组织措施，包括但不限于：①施工总进度计划；②分部分项工程节点工期；③工期保障措施。 二、评审标准： 1.完整、针对性：内容须全面，对评审内容中的各项要求有详细描述，方案能够紧扣项目实际情况，内容科学合理。 2.可实施性：切合本项目实际情况，实施步骤清晰、合理。 上述3项评审内容每一项都全部满足评审标准得6分，每有一项评审内容缺项扣2分，每一项评审内容中每出现一处缺陷扣1分，扣完为止。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一、评审内容：响应人针对本项目提供确保工程质量的技术组织措施，包括但不限于：①工程质量目标；②质量管理体系；③施工质量保障措施。二、评审标准： 1.完整、针对性：内容须全面，对评审内容中的各项要求有详细描述，方案能够紧扣项目实际情况，内容科学合理。 2.可实施性：切合本项目实际情况，实施步骤清晰、合理。 上述3项评审内容每一项都全部满足评审标准得6分，每有一项评审内容缺项扣2分，每一项评审内容中每出现一处缺陷扣1分，扣完为止。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响应人针对本项目提供确保安全生产的技术组织措施，包括但不限于：①安全生产管理制度；②安全施工措施；③安全标识：安全警戒标语、施工人员安全警示服和安全帽穿配要求；④安全生产培训。二、评审标准： 1.完整、针对性：内容须全面，对评审内容中的各项要求有详细描述，方案能够紧扣项目实际情况，内容科学合理。 2.可实施性：切合本项目实际情况，实施步骤清晰、合理。 上述4项评审内容每一项都全部满足评审标准得8分，每有一项评审内容缺项扣2分，每一项评审内容中每出现一处缺陷扣1分，扣完为止。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响应人针对本项目提供确保文明施工的技术组织措施及环境保护措施，包括但不限于：①文明施工管理制度及保障措施；②成品保护制度和措施；③环境保护管理体系及保障措施；④环保控制措施：污染物及废弃物的处理措施、噪音控制措施、防尘及扬尘的控制措施。二、评审标准： 1.完整、针对性：内容须全面，对评审内容中的各项要求有详细描述，方案能够紧扣项目实际情况，内容科学合理。 2.可实施性：切合本项目实际情况，实施步骤清晰、合理。 上述4项评审内容每一项都全部满足评审标准得8分，每有一项评审内容缺项扣2分，每一项评审内容中每出现一处缺陷扣1分，扣完为止。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响应人针对本项目提供应急措施，包括但不限于：①自然灾害应急措施：遇到极端天气、火灾、防汛、地震等其他突发事件的应急措施②安全事故应急措施：高空坠落伤害应急措施、触电应急措施、人员伤亡应急措施。 二、评审标准： 1.完整、针对性：内容须全面，对评审内容中的各项要求有详细描述，方案能够紧扣项目实际情况，内容科学合理。 2.可实施性：切合本项目实际情况，实施步骤清晰、合理。 上述2项评审内容每一项都全部满足评审标准得6分，每有一项评审内容缺项扣3分，每一项评审内容中每出现一处缺陷扣1.5分，扣完为止。 备注：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一、评审内容：响应人针对本项目特点提供切实可行的施工安全承诺、施工质量保证承诺、工期保证承诺、文明施工承诺、售后服务及缺陷责任期保障承诺，保证按时按质按量完成本项目。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一、评审内容：项目负责人具备建筑工程专业技术职称。 二、赋分标准：1、具备高级技术职称得4分，2、具备中级技术职称得2分，其他不得分。响应文件内附职称证复印件并签章。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项目团队管理人员配置</w:t>
            </w:r>
          </w:p>
        </w:tc>
        <w:tc>
          <w:tcPr>
            <w:tcW w:type="dxa" w:w="2492"/>
          </w:tcPr>
          <w:p>
            <w:pPr>
              <w:pStyle w:val="null3"/>
            </w:pPr>
            <w:r>
              <w:rPr>
                <w:rFonts w:ascii="仿宋_GB2312" w:hAnsi="仿宋_GB2312" w:cs="仿宋_GB2312" w:eastAsia="仿宋_GB2312"/>
              </w:rPr>
              <w:t>一、评审内容：所配备项目技术负责人、质检员、安全员（具有安全生考核合格证书C类）、材料员、施工员、资料员，以上人员应提供相关的执业资格证书（岗位证书）。二、赋分标准：全部满足得6分，每缺少一人或相应人员无证书证件扣 1 分，扣完为止。注：响应文件内附相应人员身份证及相关证书证件复印件并签章。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提供2023年1月1日至磋商响应截止时间前（以合同签订时间为准）类似项目业绩；每提供一个业绩得2.5分，本项最高得5分。（业绩证明材料需提供施工合同或中标通知书复印件并加盖投标供应商公章。)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详见附件：以工代赈实施承诺函.docx</w:t>
      </w:r>
    </w:p>
    <w:p>
      <w:pPr>
        <w:pStyle w:val="null3"/>
        <w:ind w:firstLine="960"/>
      </w:pPr>
      <w:r>
        <w:rPr>
          <w:rFonts w:ascii="仿宋_GB2312" w:hAnsi="仿宋_GB2312" w:cs="仿宋_GB2312" w:eastAsia="仿宋_GB2312"/>
        </w:rPr>
        <w:t>详见附件：供应商认为需要提供的其他相关证明材料.docx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