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版本号：SXBX-ZFCG-20261720260603002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桑溪镇小型体育公园建设项目-设备采购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SXBX-ZFCG-202617</w:t>
      </w:r>
      <w:r>
        <w:br/>
      </w:r>
      <w:r>
        <w:br/>
      </w:r>
      <w:r>
        <w:br/>
      </w:r>
    </w:p>
    <w:p>
      <w:pPr>
        <w:pStyle w:val="null3"/>
        <w:jc w:val="center"/>
        <w:outlineLvl w:val="2"/>
      </w:pPr>
      <w:r>
        <w:rPr>
          <w:rFonts w:ascii="仿宋_GB2312" w:hAnsi="仿宋_GB2312" w:cs="仿宋_GB2312" w:eastAsia="仿宋_GB2312"/>
          <w:sz w:val="28"/>
          <w:b/>
        </w:rPr>
        <w:t>洋县桑溪镇人民政府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洋县桑溪镇人民政府</w:t>
      </w:r>
      <w:r>
        <w:rPr>
          <w:rFonts w:ascii="仿宋_GB2312" w:hAnsi="仿宋_GB2312" w:cs="仿宋_GB2312" w:eastAsia="仿宋_GB2312"/>
        </w:rPr>
        <w:t>委托，拟对</w:t>
      </w:r>
      <w:r>
        <w:rPr>
          <w:rFonts w:ascii="仿宋_GB2312" w:hAnsi="仿宋_GB2312" w:cs="仿宋_GB2312" w:eastAsia="仿宋_GB2312"/>
        </w:rPr>
        <w:t>桑溪镇小型体育公园建设项目-设备采购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SXBX-ZFCG-202617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桑溪镇小型体育公园建设项目-设备采购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移动式篮球架1副；移动式排球柱及网1副；室外乒乓球台6个；移动式羽毛球柱及网2副；多功能儿童滑梯1个；儿童摇摇马4个；背拉训练器（室外）1套；蹲起训练器（室外）1套；高拉训练器（室外）1套；上肢外展训练器（室外）1套；双臂训练器（室外）1套；推举训练器（室外）1套；智能双位俯卧曲柄训练器1套；智能双位钟摆器1套；智能双位跷跷板1套；智能双位蹬力器1套；智能双位漫步器1套；智能双位扭腰器1套；智能健身驿站1套；篮球10个；羽毛球拍6套；羽毛球20桶；排球5个；乒乓球拍12套；乒乓球50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采购包1（桑溪镇小型体育公园建设项目-设备采购）：属于专门面向中小企业采购。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洋县桑溪镇人民政府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陕西省汉中市洋县桑溪镇桑溪街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洋县桑溪镇人民政府经办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15291647150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采购包1：487,720.50元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洋县桑溪镇人民政府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洋县桑溪镇人民政府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洋县桑溪镇人民政府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陕西柏骁项目管理有限公司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符合国家规定及采购人相关标准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联系电话：15291647150</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移动式篮球架1副；移动式排球柱及网1副；室外乒乓球台6个；移动式羽毛球柱及网2副；多功能儿童滑梯1个；儿童摇摇马4个；背拉训练器（室外）1套；蹲起训练器（室外）1套；高拉训练器（室外）1套；上肢外展训练器（室外）1套；双臂训练器（室外）1套；推举训练器（室外）1套；智能双位俯卧曲柄训练器1套；智能双位钟摆器1套；智能双位跷跷板1套；智能双位蹬力器1套；智能双位漫步器1套；智能双位扭腰器1套；智能健身驿站1套；篮球10个；羽毛球拍6套；羽毛球20桶；排球5个；乒乓球拍12套；乒乓球50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487,720.50</w:t>
      </w:r>
    </w:p>
    <w:p>
      <w:pPr>
        <w:pStyle w:val="null3"/>
      </w:pPr>
      <w:r>
        <w:rPr>
          <w:rFonts w:ascii="仿宋_GB2312" w:hAnsi="仿宋_GB2312" w:cs="仿宋_GB2312" w:eastAsia="仿宋_GB2312"/>
        </w:rPr>
        <w:t>采购包最高限价（元）: 487,720.50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桑溪镇小型体育公园建设项目-设备采购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487,720.50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标的名称：桑溪镇小型体育公园建设项目-设备采购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4"/>
              <w:gridCol w:w="194"/>
              <w:gridCol w:w="1781"/>
              <w:gridCol w:w="175"/>
              <w:gridCol w:w="224"/>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移动式篮球架</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主要承载横梁尺寸：</w:t>
                  </w:r>
                  <w:r>
                    <w:rPr>
                      <w:rFonts w:ascii="仿宋_GB2312" w:hAnsi="仿宋_GB2312" w:cs="仿宋_GB2312" w:eastAsia="仿宋_GB2312"/>
                      <w:sz w:val="20"/>
                      <w:color w:val="000000"/>
                    </w:rPr>
                    <w:t>≥150mm×100mm×4.5mm</w:t>
                  </w:r>
                  <w:r>
                    <w:br/>
                  </w:r>
                  <w:r>
                    <w:rPr>
                      <w:rFonts w:ascii="仿宋_GB2312" w:hAnsi="仿宋_GB2312" w:cs="仿宋_GB2312" w:eastAsia="仿宋_GB2312"/>
                      <w:sz w:val="20"/>
                      <w:color w:val="000000"/>
                    </w:rPr>
                    <w:t>2、表面处理工艺：脱脂-电动抛丸-静电喷塑   安装方式：移动式</w:t>
                  </w:r>
                  <w:r>
                    <w:br/>
                  </w:r>
                  <w:r>
                    <w:rPr>
                      <w:rFonts w:ascii="仿宋_GB2312" w:hAnsi="仿宋_GB2312" w:cs="仿宋_GB2312" w:eastAsia="仿宋_GB2312"/>
                      <w:sz w:val="20"/>
                      <w:color w:val="000000"/>
                    </w:rPr>
                    <w:t>3、箱体部件由支撑方管≥50mm×100mm×3.0mm、框架方管≥40mm×40mm×3.0mm、底撑 ≥20mm×40mm×2.0mm 等组焊，外包覆一层≥3mm 钢板。</w:t>
                  </w:r>
                  <w:r>
                    <w:br/>
                  </w:r>
                  <w:r>
                    <w:rPr>
                      <w:rFonts w:ascii="仿宋_GB2312" w:hAnsi="仿宋_GB2312" w:cs="仿宋_GB2312" w:eastAsia="仿宋_GB2312"/>
                      <w:sz w:val="20"/>
                      <w:color w:val="000000"/>
                    </w:rPr>
                    <w:t>4、立臂部件由立臂管≥150mm×150mm×4.5mm、侧管≥70mm×150mm×3.0mm、横管≥70mm×150mm×3.0mm、法兰板组焊。</w:t>
                  </w:r>
                  <w:r>
                    <w:br/>
                  </w:r>
                  <w:r>
                    <w:rPr>
                      <w:rFonts w:ascii="仿宋_GB2312" w:hAnsi="仿宋_GB2312" w:cs="仿宋_GB2312" w:eastAsia="仿宋_GB2312"/>
                      <w:sz w:val="20"/>
                      <w:color w:val="000000"/>
                    </w:rPr>
                    <w:t>5、篮板使用 钢化玻璃 材料。</w:t>
                  </w:r>
                  <w:r>
                    <w:br/>
                  </w:r>
                  <w:r>
                    <w:rPr>
                      <w:rFonts w:ascii="仿宋_GB2312" w:hAnsi="仿宋_GB2312" w:cs="仿宋_GB2312" w:eastAsia="仿宋_GB2312"/>
                      <w:sz w:val="20"/>
                      <w:color w:val="000000"/>
                    </w:rPr>
                    <w:t>6、钢材符合GB/T3091-2001标准要求，完全满足器材的使用强度。焊接件经二氧化碳气体保护焊焊接而成，严密牢固，焊缝美观，无漏焊、虚焊、包渣、裂纹等缺陷；表面采用静电喷塑表面光滑平整，色泽均匀，结合牢固。</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移动式排球柱及网</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1、主要材料：钢管</w:t>
                  </w:r>
                </w:p>
                <w:p>
                  <w:pPr>
                    <w:pStyle w:val="null3"/>
                    <w:jc w:val="both"/>
                  </w:pPr>
                  <w:r>
                    <w:rPr>
                      <w:rFonts w:ascii="仿宋_GB2312" w:hAnsi="仿宋_GB2312" w:cs="仿宋_GB2312" w:eastAsia="仿宋_GB2312"/>
                      <w:sz w:val="20"/>
                      <w:color w:val="000000"/>
                    </w:rPr>
                    <w:t>2、安装方式：移动式</w:t>
                  </w:r>
                </w:p>
                <w:p>
                  <w:pPr>
                    <w:pStyle w:val="null3"/>
                    <w:jc w:val="left"/>
                  </w:pPr>
                  <w:r>
                    <w:rPr>
                      <w:rFonts w:ascii="仿宋_GB2312" w:hAnsi="仿宋_GB2312" w:cs="仿宋_GB2312" w:eastAsia="仿宋_GB2312"/>
                      <w:sz w:val="20"/>
                      <w:color w:val="000000"/>
                    </w:rPr>
                    <w:t>3、移动式羽毛球柱由移动式箱体、立柱、锁紧装置组成。</w:t>
                  </w:r>
                </w:p>
                <w:p>
                  <w:pPr>
                    <w:pStyle w:val="null3"/>
                    <w:jc w:val="left"/>
                  </w:pPr>
                  <w:r>
                    <w:rPr>
                      <w:rFonts w:ascii="仿宋_GB2312" w:hAnsi="仿宋_GB2312" w:cs="仿宋_GB2312" w:eastAsia="仿宋_GB2312"/>
                      <w:sz w:val="20"/>
                      <w:color w:val="000000"/>
                    </w:rPr>
                    <w:t>4、移动式箱体采用钢板拼焊而成。箱体底部装有PU滚轮，移动方便且不伤地板。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室外乒乓球台</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主要材料：钢管</w:t>
                  </w:r>
                  <w:r>
                    <w:rPr>
                      <w:rFonts w:ascii="仿宋_GB2312" w:hAnsi="仿宋_GB2312" w:cs="仿宋_GB2312" w:eastAsia="仿宋_GB2312"/>
                      <w:sz w:val="20"/>
                      <w:color w:val="000000"/>
                    </w:rPr>
                    <w:t>\SMC</w:t>
                  </w:r>
                </w:p>
                <w:p>
                  <w:pPr>
                    <w:pStyle w:val="null3"/>
                    <w:jc w:val="left"/>
                  </w:pPr>
                  <w:r>
                    <w:rPr>
                      <w:rFonts w:ascii="仿宋_GB2312" w:hAnsi="仿宋_GB2312" w:cs="仿宋_GB2312" w:eastAsia="仿宋_GB2312"/>
                      <w:sz w:val="20"/>
                      <w:color w:val="000000"/>
                    </w:rPr>
                    <w:t>2、★器材符合国家标准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移动式羽毛球柱及网</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1、主要材料：钢管   </w:t>
                  </w:r>
                </w:p>
                <w:p>
                  <w:pPr>
                    <w:pStyle w:val="null3"/>
                    <w:jc w:val="left"/>
                  </w:pPr>
                  <w:r>
                    <w:rPr>
                      <w:rFonts w:ascii="仿宋_GB2312" w:hAnsi="仿宋_GB2312" w:cs="仿宋_GB2312" w:eastAsia="仿宋_GB2312"/>
                      <w:sz w:val="20"/>
                      <w:color w:val="000000"/>
                    </w:rPr>
                    <w:t>2、安装方式：移动式</w:t>
                  </w:r>
                </w:p>
                <w:p>
                  <w:pPr>
                    <w:pStyle w:val="null3"/>
                    <w:jc w:val="left"/>
                  </w:pPr>
                  <w:r>
                    <w:rPr>
                      <w:rFonts w:ascii="仿宋_GB2312" w:hAnsi="仿宋_GB2312" w:cs="仿宋_GB2312" w:eastAsia="仿宋_GB2312"/>
                      <w:sz w:val="20"/>
                      <w:color w:val="000000"/>
                    </w:rPr>
                    <w:t>3、移动式羽毛球柱由移动式箱体、立柱、锁紧装置组成。</w:t>
                  </w:r>
                </w:p>
                <w:p>
                  <w:pPr>
                    <w:pStyle w:val="null3"/>
                    <w:jc w:val="left"/>
                  </w:pPr>
                  <w:r>
                    <w:rPr>
                      <w:rFonts w:ascii="仿宋_GB2312" w:hAnsi="仿宋_GB2312" w:cs="仿宋_GB2312" w:eastAsia="仿宋_GB2312"/>
                      <w:sz w:val="20"/>
                      <w:color w:val="000000"/>
                    </w:rPr>
                    <w:t>4、移动式箱体采用钢板拼焊而成，水泥配重，增强底座的稳定性。箱体底部装有PU滚轮，移动方便且不伤地板。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多功能儿童滑梯</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1、尺寸：≥9.2*5.5*4.2 m</w:t>
                  </w:r>
                </w:p>
                <w:p>
                  <w:pPr>
                    <w:pStyle w:val="null3"/>
                    <w:jc w:val="left"/>
                  </w:pPr>
                  <w:r>
                    <w:rPr>
                      <w:rFonts w:ascii="仿宋_GB2312" w:hAnsi="仿宋_GB2312" w:cs="仿宋_GB2312" w:eastAsia="仿宋_GB2312"/>
                      <w:sz w:val="20"/>
                      <w:color w:val="000000"/>
                    </w:rPr>
                    <w:t>2、支柱：外径≥φ114mm厚度≥2.5mm热镀锌钢管，镜面烤漆，高频焊接管。表面处理：酸洗磷化后全部采用保护焊，机械抛光后镜面烤漆。</w:t>
                  </w:r>
                </w:p>
                <w:p>
                  <w:pPr>
                    <w:pStyle w:val="null3"/>
                    <w:jc w:val="left"/>
                  </w:pPr>
                  <w:r>
                    <w:rPr>
                      <w:rFonts w:ascii="仿宋_GB2312" w:hAnsi="仿宋_GB2312" w:cs="仿宋_GB2312" w:eastAsia="仿宋_GB2312"/>
                      <w:sz w:val="20"/>
                      <w:color w:val="000000"/>
                    </w:rPr>
                    <w:t>3、安全连接扣件：铝合金，外表圆形，档次高、造型美、安全牢固、不生锈、经久耐用。边面处光滑处理：机械抛光。网通材质为航海专用海缆绳，耐腐蚀，耐紫外线。</w:t>
                  </w:r>
                </w:p>
                <w:p>
                  <w:pPr>
                    <w:pStyle w:val="null3"/>
                    <w:jc w:val="left"/>
                  </w:pPr>
                  <w:r>
                    <w:rPr>
                      <w:rFonts w:ascii="仿宋_GB2312" w:hAnsi="仿宋_GB2312" w:cs="仿宋_GB2312" w:eastAsia="仿宋_GB2312"/>
                      <w:sz w:val="20"/>
                      <w:color w:val="000000"/>
                    </w:rPr>
                    <w:t>4、柱盖及脚盘：铝合金、表面处理：机械抛光。</w:t>
                  </w:r>
                </w:p>
                <w:p>
                  <w:pPr>
                    <w:pStyle w:val="null3"/>
                    <w:jc w:val="left"/>
                  </w:pPr>
                  <w:r>
                    <w:rPr>
                      <w:rFonts w:ascii="仿宋_GB2312" w:hAnsi="仿宋_GB2312" w:cs="仿宋_GB2312" w:eastAsia="仿宋_GB2312"/>
                      <w:sz w:val="20"/>
                      <w:color w:val="000000"/>
                    </w:rPr>
                    <w:t>5、塑料件：线型低密度聚乙烯树脂（LLDEP）无毒无味，大型正反转流水线流滚塑机一次性成型，韧性好，高度强，不会破裂，造型美，抗老化，抗静电。色彩鲜艳，不褪色，经久耐用。</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儿童摇摇马</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规格：不小于60*45*75cm  镀锌钢板、PE板</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背拉训练器（室外）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1、主体框架由：≥φ42×3.0mm钢管和钢板组焊，座板及靠背板为高密度PE材质。</w:t>
                  </w:r>
                </w:p>
                <w:p>
                  <w:pPr>
                    <w:pStyle w:val="null3"/>
                    <w:jc w:val="left"/>
                  </w:pPr>
                  <w:r>
                    <w:rPr>
                      <w:rFonts w:ascii="仿宋_GB2312" w:hAnsi="仿宋_GB2312" w:cs="仿宋_GB2312" w:eastAsia="仿宋_GB2312"/>
                      <w:sz w:val="20"/>
                      <w:color w:val="000000"/>
                    </w:rPr>
                    <w:t>3、不存在和使用功能无关的凸出物；使用者或第三者易接触的零部件的其他所有棱边进行圆滑过渡。</w:t>
                  </w:r>
                </w:p>
                <w:p>
                  <w:pPr>
                    <w:pStyle w:val="null3"/>
                    <w:jc w:val="left"/>
                  </w:pPr>
                  <w:r>
                    <w:rPr>
                      <w:rFonts w:ascii="仿宋_GB2312" w:hAnsi="仿宋_GB2312" w:cs="仿宋_GB2312" w:eastAsia="仿宋_GB2312"/>
                      <w:sz w:val="20"/>
                      <w:color w:val="000000"/>
                    </w:rPr>
                    <w:t>4、钢材符合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蹲起训练器（室外）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主体框架由</w:t>
                  </w:r>
                  <w:r>
                    <w:rPr>
                      <w:rFonts w:ascii="仿宋_GB2312" w:hAnsi="仿宋_GB2312" w:cs="仿宋_GB2312" w:eastAsia="仿宋_GB2312"/>
                      <w:sz w:val="20"/>
                      <w:color w:val="000000"/>
                    </w:rPr>
                    <w:t>≥φ76×3.0mm钢管40×80×2mm平椭圆管组焊。</w:t>
                  </w:r>
                </w:p>
                <w:p>
                  <w:pPr>
                    <w:pStyle w:val="null3"/>
                    <w:numPr>
                      <w:ilvl w:val="0"/>
                      <w:numId w:val="1"/>
                    </w:numPr>
                    <w:jc w:val="left"/>
                  </w:pPr>
                  <w:r>
                    <w:rPr>
                      <w:rFonts w:ascii="仿宋_GB2312" w:hAnsi="仿宋_GB2312" w:cs="仿宋_GB2312" w:eastAsia="仿宋_GB2312"/>
                      <w:sz w:val="20"/>
                      <w:color w:val="000000"/>
                    </w:rPr>
                    <w:t>不存在和使用功能无关的凸出物；使用者或第三者易接触的零部件的其他所有棱边进行圆滑过渡。</w:t>
                  </w:r>
                </w:p>
                <w:p>
                  <w:pPr>
                    <w:pStyle w:val="null3"/>
                    <w:numPr>
                      <w:ilvl w:val="0"/>
                      <w:numId w:val="1"/>
                    </w:numPr>
                    <w:jc w:val="left"/>
                  </w:pPr>
                  <w:r>
                    <w:rPr>
                      <w:rFonts w:ascii="仿宋_GB2312" w:hAnsi="仿宋_GB2312" w:cs="仿宋_GB2312" w:eastAsia="仿宋_GB2312"/>
                      <w:sz w:val="20"/>
                      <w:color w:val="000000"/>
                    </w:rPr>
                    <w:t>钢材符合</w:t>
                  </w:r>
                  <w:r>
                    <w:rPr>
                      <w:rFonts w:ascii="仿宋_GB2312" w:hAnsi="仿宋_GB2312" w:cs="仿宋_GB2312" w:eastAsia="仿宋_GB2312"/>
                      <w:sz w:val="20"/>
                      <w:color w:val="000000"/>
                    </w:rPr>
                    <w:t>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高拉训练器（室外）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1、主体框架由≥φ76×3.0mm钢管≥40×80×2mm平椭圆管组焊，座板为高密度PE材质。</w:t>
                  </w:r>
                </w:p>
                <w:p>
                  <w:pPr>
                    <w:pStyle w:val="null3"/>
                    <w:jc w:val="left"/>
                  </w:pPr>
                  <w:r>
                    <w:rPr>
                      <w:rFonts w:ascii="仿宋_GB2312" w:hAnsi="仿宋_GB2312" w:cs="仿宋_GB2312" w:eastAsia="仿宋_GB2312"/>
                      <w:sz w:val="20"/>
                      <w:color w:val="000000"/>
                    </w:rPr>
                    <w:t>2、不存在和使用功能无关的凸出物；使用者或第三者易接触的零部件的其他所有棱边进行圆滑过渡。</w:t>
                  </w:r>
                </w:p>
                <w:p>
                  <w:pPr>
                    <w:pStyle w:val="null3"/>
                    <w:jc w:val="left"/>
                  </w:pPr>
                  <w:r>
                    <w:rPr>
                      <w:rFonts w:ascii="仿宋_GB2312" w:hAnsi="仿宋_GB2312" w:cs="仿宋_GB2312" w:eastAsia="仿宋_GB2312"/>
                      <w:sz w:val="20"/>
                      <w:color w:val="000000"/>
                    </w:rPr>
                    <w:t>3、钢材符合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上肢外展训练器（室外）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主体框架由</w:t>
                  </w:r>
                  <w:r>
                    <w:rPr>
                      <w:rFonts w:ascii="仿宋_GB2312" w:hAnsi="仿宋_GB2312" w:cs="仿宋_GB2312" w:eastAsia="仿宋_GB2312"/>
                      <w:sz w:val="20"/>
                      <w:color w:val="000000"/>
                    </w:rPr>
                    <w:t>≥φ76×3.0mm钢管、 ≥40×80×2mm平椭圆管组焊，座板及肘靠板为高密度PE材质。</w:t>
                  </w:r>
                </w:p>
                <w:p>
                  <w:pPr>
                    <w:pStyle w:val="null3"/>
                    <w:numPr>
                      <w:ilvl w:val="0"/>
                      <w:numId w:val="1"/>
                    </w:numPr>
                    <w:jc w:val="left"/>
                  </w:pPr>
                  <w:r>
                    <w:rPr>
                      <w:rFonts w:ascii="仿宋_GB2312" w:hAnsi="仿宋_GB2312" w:cs="仿宋_GB2312" w:eastAsia="仿宋_GB2312"/>
                      <w:sz w:val="20"/>
                      <w:color w:val="000000"/>
                    </w:rPr>
                    <w:t>不存在和使用功能无关的凸出物；使用者或第三者易接触的零部件的其他所有棱边进行圆滑过渡。</w:t>
                  </w:r>
                </w:p>
                <w:p>
                  <w:pPr>
                    <w:pStyle w:val="null3"/>
                    <w:numPr>
                      <w:ilvl w:val="0"/>
                      <w:numId w:val="1"/>
                    </w:numPr>
                    <w:jc w:val="left"/>
                  </w:pPr>
                  <w:r>
                    <w:rPr>
                      <w:rFonts w:ascii="仿宋_GB2312" w:hAnsi="仿宋_GB2312" w:cs="仿宋_GB2312" w:eastAsia="仿宋_GB2312"/>
                      <w:sz w:val="20"/>
                      <w:color w:val="000000"/>
                    </w:rPr>
                    <w:t>钢材符合</w:t>
                  </w:r>
                  <w:r>
                    <w:rPr>
                      <w:rFonts w:ascii="仿宋_GB2312" w:hAnsi="仿宋_GB2312" w:cs="仿宋_GB2312" w:eastAsia="仿宋_GB2312"/>
                      <w:sz w:val="20"/>
                      <w:color w:val="000000"/>
                    </w:rPr>
                    <w:t>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双臂训练器（室外）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主体框架由</w:t>
                  </w:r>
                  <w:r>
                    <w:rPr>
                      <w:rFonts w:ascii="仿宋_GB2312" w:hAnsi="仿宋_GB2312" w:cs="仿宋_GB2312" w:eastAsia="仿宋_GB2312"/>
                      <w:sz w:val="20"/>
                      <w:color w:val="000000"/>
                    </w:rPr>
                    <w:t>≥φ76×3.0mm钢管≥40×80×2mm平椭圆管组焊，座板及靠板为高密度PE材质。</w:t>
                  </w:r>
                </w:p>
                <w:p>
                  <w:pPr>
                    <w:pStyle w:val="null3"/>
                    <w:numPr>
                      <w:ilvl w:val="0"/>
                      <w:numId w:val="1"/>
                    </w:numPr>
                    <w:jc w:val="left"/>
                  </w:pPr>
                  <w:r>
                    <w:rPr>
                      <w:rFonts w:ascii="仿宋_GB2312" w:hAnsi="仿宋_GB2312" w:cs="仿宋_GB2312" w:eastAsia="仿宋_GB2312"/>
                      <w:sz w:val="20"/>
                      <w:color w:val="000000"/>
                    </w:rPr>
                    <w:t>不存在和使用功能无关的凸出物；使用者或第三者易接触的零部件的其他所有棱边进行圆滑过渡。</w:t>
                  </w:r>
                </w:p>
                <w:p>
                  <w:pPr>
                    <w:pStyle w:val="null3"/>
                    <w:numPr>
                      <w:ilvl w:val="0"/>
                      <w:numId w:val="1"/>
                    </w:numPr>
                    <w:jc w:val="left"/>
                  </w:pPr>
                  <w:r>
                    <w:rPr>
                      <w:rFonts w:ascii="仿宋_GB2312" w:hAnsi="仿宋_GB2312" w:cs="仿宋_GB2312" w:eastAsia="仿宋_GB2312"/>
                      <w:sz w:val="20"/>
                      <w:color w:val="000000"/>
                    </w:rPr>
                    <w:t>钢材符合</w:t>
                  </w:r>
                  <w:r>
                    <w:rPr>
                      <w:rFonts w:ascii="仿宋_GB2312" w:hAnsi="仿宋_GB2312" w:cs="仿宋_GB2312" w:eastAsia="仿宋_GB2312"/>
                      <w:sz w:val="20"/>
                      <w:color w:val="000000"/>
                    </w:rPr>
                    <w:t>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推举训练器（室外）</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主体框架由</w:t>
                  </w:r>
                  <w:r>
                    <w:rPr>
                      <w:rFonts w:ascii="仿宋_GB2312" w:hAnsi="仿宋_GB2312" w:cs="仿宋_GB2312" w:eastAsia="仿宋_GB2312"/>
                      <w:sz w:val="20"/>
                      <w:color w:val="000000"/>
                    </w:rPr>
                    <w:t>≥φ76×3.0mm钢管≥40×80×2mm平椭圆管组焊，座板及靠背板为高密度PE材质。</w:t>
                  </w:r>
                </w:p>
                <w:p>
                  <w:pPr>
                    <w:pStyle w:val="null3"/>
                    <w:numPr>
                      <w:ilvl w:val="0"/>
                      <w:numId w:val="1"/>
                    </w:numPr>
                    <w:jc w:val="left"/>
                  </w:pPr>
                  <w:r>
                    <w:rPr>
                      <w:rFonts w:ascii="仿宋_GB2312" w:hAnsi="仿宋_GB2312" w:cs="仿宋_GB2312" w:eastAsia="仿宋_GB2312"/>
                      <w:sz w:val="20"/>
                      <w:color w:val="000000"/>
                    </w:rPr>
                    <w:t>不存在和使用功能无关的凸出物；使用者或第三者易接触的零部件的其他所有棱边进行圆滑过渡。</w:t>
                  </w:r>
                </w:p>
                <w:p>
                  <w:pPr>
                    <w:pStyle w:val="null3"/>
                    <w:numPr>
                      <w:ilvl w:val="0"/>
                      <w:numId w:val="1"/>
                    </w:numPr>
                    <w:jc w:val="left"/>
                  </w:pPr>
                  <w:r>
                    <w:rPr>
                      <w:rFonts w:ascii="仿宋_GB2312" w:hAnsi="仿宋_GB2312" w:cs="仿宋_GB2312" w:eastAsia="仿宋_GB2312"/>
                      <w:sz w:val="20"/>
                      <w:color w:val="000000"/>
                    </w:rPr>
                    <w:t>钢材符合</w:t>
                  </w:r>
                  <w:r>
                    <w:rPr>
                      <w:rFonts w:ascii="仿宋_GB2312" w:hAnsi="仿宋_GB2312" w:cs="仿宋_GB2312" w:eastAsia="仿宋_GB2312"/>
                      <w:sz w:val="20"/>
                      <w:color w:val="000000"/>
                    </w:rPr>
                    <w:t>GB/T3091-2001标准要求，完全满足器材的使用强度。焊接件采用混合气体保护焊接，焊接牢固，焊缝美观；表面采用静电喷塑，表面光滑平整，色泽均匀，结合牢固。表面喷塑颜色可保五年不褪色、八年不脱落；机械部分使用寿命8年</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智能双位俯卧曲柄训练器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1、主要材料：钢、铝、塑木。</w:t>
                  </w:r>
                </w:p>
                <w:p>
                  <w:pPr>
                    <w:pStyle w:val="null3"/>
                    <w:jc w:val="left"/>
                  </w:pPr>
                  <w:r>
                    <w:rPr>
                      <w:rFonts w:ascii="仿宋_GB2312" w:hAnsi="仿宋_GB2312" w:cs="仿宋_GB2312" w:eastAsia="仿宋_GB2312"/>
                      <w:sz w:val="20"/>
                      <w:color w:val="000000"/>
                    </w:rPr>
                    <w:t>2、数据采集：可采集运动时间、运动次数。</w:t>
                  </w:r>
                </w:p>
                <w:p>
                  <w:pPr>
                    <w:pStyle w:val="null3"/>
                    <w:jc w:val="left"/>
                  </w:pPr>
                  <w:r>
                    <w:rPr>
                      <w:rFonts w:ascii="仿宋_GB2312" w:hAnsi="仿宋_GB2312" w:cs="仿宋_GB2312" w:eastAsia="仿宋_GB2312"/>
                      <w:sz w:val="20"/>
                      <w:color w:val="000000"/>
                    </w:rPr>
                    <w:t>3、数据传输：支持无线传输。</w:t>
                  </w:r>
                </w:p>
                <w:p>
                  <w:pPr>
                    <w:pStyle w:val="null3"/>
                    <w:jc w:val="left"/>
                  </w:pPr>
                  <w:r>
                    <w:rPr>
                      <w:rFonts w:ascii="仿宋_GB2312" w:hAnsi="仿宋_GB2312" w:cs="仿宋_GB2312" w:eastAsia="仿宋_GB2312"/>
                      <w:sz w:val="20"/>
                      <w:color w:val="000000"/>
                    </w:rPr>
                    <w:t>4、数据呈现：支持语音播报、固定显示屏、智能终端展示。</w:t>
                  </w:r>
                </w:p>
                <w:p>
                  <w:pPr>
                    <w:pStyle w:val="null3"/>
                    <w:jc w:val="left"/>
                  </w:pPr>
                  <w:r>
                    <w:rPr>
                      <w:rFonts w:ascii="仿宋_GB2312" w:hAnsi="仿宋_GB2312" w:cs="仿宋_GB2312" w:eastAsia="仿宋_GB2312"/>
                      <w:sz w:val="20"/>
                      <w:color w:val="000000"/>
                    </w:rPr>
                    <w:t>5、安装方式：预埋式，保障安装稳固。</w:t>
                  </w:r>
                </w:p>
                <w:p>
                  <w:pPr>
                    <w:pStyle w:val="null3"/>
                    <w:jc w:val="left"/>
                  </w:pPr>
                  <w:r>
                    <w:rPr>
                      <w:rFonts w:ascii="仿宋_GB2312" w:hAnsi="仿宋_GB2312" w:cs="仿宋_GB2312" w:eastAsia="仿宋_GB2312"/>
                      <w:sz w:val="20"/>
                      <w:color w:val="000000"/>
                    </w:rPr>
                    <w:t>6、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left"/>
                  </w:pPr>
                  <w:r>
                    <w:rPr>
                      <w:rFonts w:ascii="仿宋_GB2312" w:hAnsi="仿宋_GB2312" w:cs="仿宋_GB2312" w:eastAsia="仿宋_GB2312"/>
                      <w:sz w:val="20"/>
                      <w:color w:val="000000"/>
                    </w:rPr>
                    <w:t>7、把手结构：把手部件由球头、圆管、花键轴组焊而成。</w:t>
                  </w:r>
                </w:p>
                <w:p>
                  <w:pPr>
                    <w:pStyle w:val="null3"/>
                    <w:jc w:val="left"/>
                  </w:pPr>
                  <w:r>
                    <w:rPr>
                      <w:rFonts w:ascii="仿宋_GB2312" w:hAnsi="仿宋_GB2312" w:cs="仿宋_GB2312" w:eastAsia="仿宋_GB2312"/>
                      <w:sz w:val="20"/>
                      <w:color w:val="000000"/>
                    </w:rPr>
                    <w:t>8、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left"/>
                  </w:pPr>
                  <w:r>
                    <w:rPr>
                      <w:rFonts w:ascii="仿宋_GB2312" w:hAnsi="仿宋_GB2312" w:cs="仿宋_GB2312" w:eastAsia="仿宋_GB2312"/>
                      <w:sz w:val="20"/>
                      <w:color w:val="000000"/>
                    </w:rPr>
                    <w:t>★9、 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智能双位钟摆器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 钢 、铝、塑木</w:t>
                  </w:r>
                </w:p>
                <w:p>
                  <w:pPr>
                    <w:pStyle w:val="null3"/>
                    <w:jc w:val="left"/>
                  </w:pPr>
                  <w:r>
                    <w:rPr>
                      <w:rFonts w:ascii="仿宋_GB2312" w:hAnsi="仿宋_GB2312" w:cs="仿宋_GB2312" w:eastAsia="仿宋_GB2312"/>
                      <w:sz w:val="20"/>
                      <w:color w:val="000000"/>
                    </w:rPr>
                    <w:t>2、数据传输方式：无线传输</w:t>
                  </w:r>
                </w:p>
                <w:p>
                  <w:pPr>
                    <w:pStyle w:val="null3"/>
                    <w:jc w:val="left"/>
                  </w:pPr>
                  <w:r>
                    <w:rPr>
                      <w:rFonts w:ascii="仿宋_GB2312" w:hAnsi="仿宋_GB2312" w:cs="仿宋_GB2312" w:eastAsia="仿宋_GB2312"/>
                      <w:sz w:val="20"/>
                      <w:color w:val="000000"/>
                    </w:rPr>
                    <w:t>3、数据呈现方式：语音播报、固定显示屏、智能终端</w:t>
                  </w:r>
                </w:p>
                <w:p>
                  <w:pPr>
                    <w:pStyle w:val="null3"/>
                    <w:jc w:val="left"/>
                  </w:pPr>
                  <w:r>
                    <w:rPr>
                      <w:rFonts w:ascii="仿宋_GB2312" w:hAnsi="仿宋_GB2312" w:cs="仿宋_GB2312" w:eastAsia="仿宋_GB2312"/>
                      <w:sz w:val="20"/>
                      <w:color w:val="000000"/>
                    </w:rPr>
                    <w:t>4、安装方式：预埋+直埋式</w:t>
                  </w:r>
                </w:p>
                <w:p>
                  <w:pPr>
                    <w:pStyle w:val="null3"/>
                    <w:jc w:val="left"/>
                  </w:pPr>
                  <w:r>
                    <w:rPr>
                      <w:rFonts w:ascii="仿宋_GB2312" w:hAnsi="仿宋_GB2312" w:cs="仿宋_GB2312" w:eastAsia="仿宋_GB2312"/>
                      <w:sz w:val="20"/>
                      <w:color w:val="000000"/>
                    </w:rPr>
                    <w:t>5、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p>
                <w:p>
                  <w:pPr>
                    <w:pStyle w:val="null3"/>
                    <w:jc w:val="left"/>
                  </w:pPr>
                  <w:r>
                    <w:rPr>
                      <w:rFonts w:ascii="仿宋_GB2312" w:hAnsi="仿宋_GB2312" w:cs="仿宋_GB2312" w:eastAsia="仿宋_GB2312"/>
                      <w:sz w:val="20"/>
                      <w:color w:val="000000"/>
                    </w:rPr>
                    <w:t>6、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、消耗卡路里等运动结果，打开手机app软件，可读取所有数据；</w:t>
                  </w:r>
                </w:p>
                <w:p>
                  <w:pPr>
                    <w:pStyle w:val="null3"/>
                    <w:jc w:val="left"/>
                  </w:pPr>
                  <w:r>
                    <w:rPr>
                      <w:rFonts w:ascii="仿宋_GB2312" w:hAnsi="仿宋_GB2312" w:cs="仿宋_GB2312" w:eastAsia="仿宋_GB2312"/>
                      <w:sz w:val="20"/>
                      <w:color w:val="000000"/>
                    </w:rPr>
                    <w:t>★7、器材符合国家标准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智能双位跷跷板</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1、主要材料：钢、铝、塑木。</w:t>
                  </w:r>
                </w:p>
                <w:p>
                  <w:pPr>
                    <w:pStyle w:val="null3"/>
                    <w:jc w:val="left"/>
                  </w:pPr>
                  <w:r>
                    <w:rPr>
                      <w:rFonts w:ascii="仿宋_GB2312" w:hAnsi="仿宋_GB2312" w:cs="仿宋_GB2312" w:eastAsia="仿宋_GB2312"/>
                      <w:sz w:val="20"/>
                      <w:color w:val="000000"/>
                    </w:rPr>
                    <w:t>2、数据采集：可采集运动时间、运动次数。</w:t>
                  </w:r>
                </w:p>
                <w:p>
                  <w:pPr>
                    <w:pStyle w:val="null3"/>
                    <w:jc w:val="left"/>
                  </w:pPr>
                  <w:r>
                    <w:rPr>
                      <w:rFonts w:ascii="仿宋_GB2312" w:hAnsi="仿宋_GB2312" w:cs="仿宋_GB2312" w:eastAsia="仿宋_GB2312"/>
                      <w:sz w:val="20"/>
                      <w:color w:val="000000"/>
                    </w:rPr>
                    <w:t>3、数据传输：支持无线传输。</w:t>
                  </w:r>
                </w:p>
                <w:p>
                  <w:pPr>
                    <w:pStyle w:val="null3"/>
                    <w:jc w:val="left"/>
                  </w:pPr>
                  <w:r>
                    <w:rPr>
                      <w:rFonts w:ascii="仿宋_GB2312" w:hAnsi="仿宋_GB2312" w:cs="仿宋_GB2312" w:eastAsia="仿宋_GB2312"/>
                      <w:sz w:val="20"/>
                      <w:color w:val="000000"/>
                    </w:rPr>
                    <w:t>4、 数据呈现：支持语音播报、固定显示屏、智能终端展示。</w:t>
                  </w:r>
                </w:p>
                <w:p>
                  <w:pPr>
                    <w:pStyle w:val="null3"/>
                    <w:jc w:val="left"/>
                  </w:pPr>
                  <w:r>
                    <w:rPr>
                      <w:rFonts w:ascii="仿宋_GB2312" w:hAnsi="仿宋_GB2312" w:cs="仿宋_GB2312" w:eastAsia="仿宋_GB2312"/>
                      <w:sz w:val="20"/>
                      <w:color w:val="000000"/>
                    </w:rPr>
                    <w:t>5、安装方式：预埋+直埋式，保障安装稳固。</w:t>
                  </w:r>
                </w:p>
                <w:p>
                  <w:pPr>
                    <w:pStyle w:val="null3"/>
                    <w:jc w:val="left"/>
                  </w:pPr>
                  <w:r>
                    <w:rPr>
                      <w:rFonts w:ascii="仿宋_GB2312" w:hAnsi="仿宋_GB2312" w:cs="仿宋_GB2312" w:eastAsia="仿宋_GB2312"/>
                      <w:sz w:val="20"/>
                      <w:color w:val="000000"/>
                    </w:rPr>
                    <w:t>6、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left"/>
                  </w:pPr>
                  <w:r>
                    <w:rPr>
                      <w:rFonts w:ascii="仿宋_GB2312" w:hAnsi="仿宋_GB2312" w:cs="仿宋_GB2312" w:eastAsia="仿宋_GB2312"/>
                      <w:sz w:val="20"/>
                      <w:color w:val="000000"/>
                    </w:rPr>
                    <w:t>7、座板及靠背板：采用PE材料。</w:t>
                  </w:r>
                </w:p>
                <w:p>
                  <w:pPr>
                    <w:pStyle w:val="null3"/>
                    <w:jc w:val="left"/>
                  </w:pPr>
                  <w:r>
                    <w:rPr>
                      <w:rFonts w:ascii="仿宋_GB2312" w:hAnsi="仿宋_GB2312" w:cs="仿宋_GB2312" w:eastAsia="仿宋_GB2312"/>
                      <w:sz w:val="20"/>
                      <w:color w:val="000000"/>
                    </w:rPr>
                    <w:t>8、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left"/>
                  </w:pPr>
                  <w:r>
                    <w:rPr>
                      <w:rFonts w:ascii="仿宋_GB2312" w:hAnsi="仿宋_GB2312" w:cs="仿宋_GB2312" w:eastAsia="仿宋_GB2312"/>
                      <w:sz w:val="20"/>
                      <w:color w:val="000000"/>
                    </w:rPr>
                    <w:t>★9、器材符合国家标准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智能双位蹬力器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1、主要材料：钢、铝、塑木。</w:t>
                  </w:r>
                </w:p>
                <w:p>
                  <w:pPr>
                    <w:pStyle w:val="null3"/>
                    <w:jc w:val="left"/>
                  </w:pPr>
                  <w:r>
                    <w:rPr>
                      <w:rFonts w:ascii="仿宋_GB2312" w:hAnsi="仿宋_GB2312" w:cs="仿宋_GB2312" w:eastAsia="仿宋_GB2312"/>
                      <w:sz w:val="20"/>
                      <w:color w:val="000000"/>
                    </w:rPr>
                    <w:t>2、数据采集：可采集运动时间、运动次数。</w:t>
                  </w:r>
                </w:p>
                <w:p>
                  <w:pPr>
                    <w:pStyle w:val="null3"/>
                    <w:jc w:val="left"/>
                  </w:pPr>
                  <w:r>
                    <w:rPr>
                      <w:rFonts w:ascii="仿宋_GB2312" w:hAnsi="仿宋_GB2312" w:cs="仿宋_GB2312" w:eastAsia="仿宋_GB2312"/>
                      <w:sz w:val="20"/>
                      <w:color w:val="000000"/>
                    </w:rPr>
                    <w:t>3、数据传输：支持无线传输。</w:t>
                  </w:r>
                </w:p>
                <w:p>
                  <w:pPr>
                    <w:pStyle w:val="null3"/>
                    <w:jc w:val="left"/>
                  </w:pPr>
                  <w:r>
                    <w:rPr>
                      <w:rFonts w:ascii="仿宋_GB2312" w:hAnsi="仿宋_GB2312" w:cs="仿宋_GB2312" w:eastAsia="仿宋_GB2312"/>
                      <w:sz w:val="20"/>
                      <w:color w:val="000000"/>
                    </w:rPr>
                    <w:t>4、 数据呈现：支持语音播报、固定显示屏、智能终端展示。</w:t>
                  </w:r>
                </w:p>
                <w:p>
                  <w:pPr>
                    <w:pStyle w:val="null3"/>
                    <w:jc w:val="left"/>
                  </w:pPr>
                  <w:r>
                    <w:rPr>
                      <w:rFonts w:ascii="仿宋_GB2312" w:hAnsi="仿宋_GB2312" w:cs="仿宋_GB2312" w:eastAsia="仿宋_GB2312"/>
                      <w:sz w:val="20"/>
                      <w:color w:val="000000"/>
                    </w:rPr>
                    <w:t>5、安装方式：预埋+直埋式，保障安装稳固。</w:t>
                  </w:r>
                </w:p>
                <w:p>
                  <w:pPr>
                    <w:pStyle w:val="null3"/>
                    <w:jc w:val="left"/>
                  </w:pPr>
                  <w:r>
                    <w:rPr>
                      <w:rFonts w:ascii="仿宋_GB2312" w:hAnsi="仿宋_GB2312" w:cs="仿宋_GB2312" w:eastAsia="仿宋_GB2312"/>
                      <w:sz w:val="20"/>
                      <w:color w:val="000000"/>
                    </w:rPr>
                    <w:t>6、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left"/>
                  </w:pPr>
                  <w:r>
                    <w:rPr>
                      <w:rFonts w:ascii="仿宋_GB2312" w:hAnsi="仿宋_GB2312" w:cs="仿宋_GB2312" w:eastAsia="仿宋_GB2312"/>
                      <w:sz w:val="20"/>
                      <w:color w:val="000000"/>
                    </w:rPr>
                    <w:t>7、座位部件具有内限位结构，座板及靠背为吹塑工艺；</w:t>
                  </w:r>
                </w:p>
                <w:p>
                  <w:pPr>
                    <w:pStyle w:val="null3"/>
                    <w:jc w:val="left"/>
                  </w:pPr>
                  <w:r>
                    <w:rPr>
                      <w:rFonts w:ascii="仿宋_GB2312" w:hAnsi="仿宋_GB2312" w:cs="仿宋_GB2312" w:eastAsia="仿宋_GB2312"/>
                      <w:sz w:val="20"/>
                      <w:color w:val="000000"/>
                    </w:rPr>
                    <w:t>8、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left"/>
                  </w:pPr>
                  <w:r>
                    <w:rPr>
                      <w:rFonts w:ascii="仿宋_GB2312" w:hAnsi="仿宋_GB2312" w:cs="仿宋_GB2312" w:eastAsia="仿宋_GB2312"/>
                      <w:sz w:val="20"/>
                      <w:color w:val="000000"/>
                    </w:rPr>
                    <w:t>★9、器材符合国家标准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智能双位漫步器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1、主要材料：钢、铝、塑木。</w:t>
                  </w:r>
                </w:p>
                <w:p>
                  <w:pPr>
                    <w:pStyle w:val="null3"/>
                    <w:jc w:val="left"/>
                  </w:pPr>
                  <w:r>
                    <w:rPr>
                      <w:rFonts w:ascii="仿宋_GB2312" w:hAnsi="仿宋_GB2312" w:cs="仿宋_GB2312" w:eastAsia="仿宋_GB2312"/>
                      <w:sz w:val="20"/>
                      <w:color w:val="000000"/>
                    </w:rPr>
                    <w:t>2、数据传输：支持无线传输。</w:t>
                  </w:r>
                </w:p>
                <w:p>
                  <w:pPr>
                    <w:pStyle w:val="null3"/>
                    <w:jc w:val="left"/>
                  </w:pPr>
                  <w:r>
                    <w:rPr>
                      <w:rFonts w:ascii="仿宋_GB2312" w:hAnsi="仿宋_GB2312" w:cs="仿宋_GB2312" w:eastAsia="仿宋_GB2312"/>
                      <w:sz w:val="20"/>
                      <w:color w:val="000000"/>
                    </w:rPr>
                    <w:t>3、数据呈现：支持语音播报、固定显示屏、智能终端展示。</w:t>
                  </w:r>
                </w:p>
                <w:p>
                  <w:pPr>
                    <w:pStyle w:val="null3"/>
                    <w:jc w:val="left"/>
                  </w:pPr>
                  <w:r>
                    <w:rPr>
                      <w:rFonts w:ascii="仿宋_GB2312" w:hAnsi="仿宋_GB2312" w:cs="仿宋_GB2312" w:eastAsia="仿宋_GB2312"/>
                      <w:sz w:val="20"/>
                      <w:color w:val="000000"/>
                    </w:rPr>
                    <w:t>4、安装方式：预埋+直埋式，保障安装稳固。</w:t>
                  </w:r>
                </w:p>
                <w:p>
                  <w:pPr>
                    <w:pStyle w:val="null3"/>
                    <w:jc w:val="left"/>
                  </w:pPr>
                  <w:r>
                    <w:rPr>
                      <w:rFonts w:ascii="仿宋_GB2312" w:hAnsi="仿宋_GB2312" w:cs="仿宋_GB2312" w:eastAsia="仿宋_GB2312"/>
                      <w:sz w:val="20"/>
                      <w:color w:val="000000"/>
                    </w:rPr>
                    <w:t>5、智能功能：配备太阳能光伏供电系统，含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left"/>
                  </w:pPr>
                  <w:r>
                    <w:rPr>
                      <w:rFonts w:ascii="仿宋_GB2312" w:hAnsi="仿宋_GB2312" w:cs="仿宋_GB2312" w:eastAsia="仿宋_GB2312"/>
                      <w:sz w:val="20"/>
                      <w:color w:val="000000"/>
                    </w:rPr>
                    <w:t>6、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left"/>
                  </w:pPr>
                  <w:r>
                    <w:rPr>
                      <w:rFonts w:ascii="仿宋_GB2312" w:hAnsi="仿宋_GB2312" w:cs="仿宋_GB2312" w:eastAsia="仿宋_GB2312"/>
                      <w:sz w:val="20"/>
                      <w:color w:val="000000"/>
                    </w:rPr>
                    <w:t>★7、器材符合国家标准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智能双位扭腰器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1、主要材料：钢、铝、塑木。</w:t>
                  </w:r>
                </w:p>
                <w:p>
                  <w:pPr>
                    <w:pStyle w:val="null3"/>
                    <w:jc w:val="left"/>
                  </w:pPr>
                  <w:r>
                    <w:rPr>
                      <w:rFonts w:ascii="仿宋_GB2312" w:hAnsi="仿宋_GB2312" w:cs="仿宋_GB2312" w:eastAsia="仿宋_GB2312"/>
                      <w:sz w:val="20"/>
                      <w:color w:val="000000"/>
                    </w:rPr>
                    <w:t>2；数据传输：支持无线传输。</w:t>
                  </w:r>
                </w:p>
                <w:p>
                  <w:pPr>
                    <w:pStyle w:val="null3"/>
                    <w:jc w:val="left"/>
                  </w:pPr>
                  <w:r>
                    <w:rPr>
                      <w:rFonts w:ascii="仿宋_GB2312" w:hAnsi="仿宋_GB2312" w:cs="仿宋_GB2312" w:eastAsia="仿宋_GB2312"/>
                      <w:sz w:val="20"/>
                      <w:color w:val="000000"/>
                    </w:rPr>
                    <w:t>3、数据呈现：支持语音播报、固定显示屏、智能终端展示。</w:t>
                  </w:r>
                </w:p>
                <w:p>
                  <w:pPr>
                    <w:pStyle w:val="null3"/>
                    <w:jc w:val="left"/>
                  </w:pPr>
                  <w:r>
                    <w:rPr>
                      <w:rFonts w:ascii="仿宋_GB2312" w:hAnsi="仿宋_GB2312" w:cs="仿宋_GB2312" w:eastAsia="仿宋_GB2312"/>
                      <w:sz w:val="20"/>
                      <w:color w:val="000000"/>
                    </w:rPr>
                    <w:t>4、安装方式：预埋+直埋式，保障安装稳固。</w:t>
                  </w:r>
                </w:p>
                <w:p>
                  <w:pPr>
                    <w:pStyle w:val="null3"/>
                    <w:jc w:val="left"/>
                  </w:pPr>
                  <w:r>
                    <w:rPr>
                      <w:rFonts w:ascii="仿宋_GB2312" w:hAnsi="仿宋_GB2312" w:cs="仿宋_GB2312" w:eastAsia="仿宋_GB2312"/>
                      <w:sz w:val="20"/>
                      <w:color w:val="000000"/>
                    </w:rPr>
                    <w:t>5、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left"/>
                  </w:pPr>
                  <w:r>
                    <w:rPr>
                      <w:rFonts w:ascii="仿宋_GB2312" w:hAnsi="仿宋_GB2312" w:cs="仿宋_GB2312" w:eastAsia="仿宋_GB2312"/>
                      <w:sz w:val="20"/>
                      <w:color w:val="000000"/>
                    </w:rPr>
                    <w:t>6、结构要求：扭腰盘采用钢板冲压成型，内置阻尼结构及计数装置；扶手部件由把手支管焊接成型</w:t>
                  </w:r>
                </w:p>
                <w:p>
                  <w:pPr>
                    <w:pStyle w:val="null3"/>
                    <w:jc w:val="left"/>
                  </w:pPr>
                  <w:r>
                    <w:rPr>
                      <w:rFonts w:ascii="仿宋_GB2312" w:hAnsi="仿宋_GB2312" w:cs="仿宋_GB2312" w:eastAsia="仿宋_GB2312"/>
                      <w:sz w:val="20"/>
                      <w:color w:val="000000"/>
                    </w:rPr>
                    <w:t>7、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left"/>
                  </w:pPr>
                  <w:r>
                    <w:rPr>
                      <w:rFonts w:ascii="仿宋_GB2312" w:hAnsi="仿宋_GB2312" w:cs="仿宋_GB2312" w:eastAsia="仿宋_GB2312"/>
                      <w:sz w:val="20"/>
                      <w:color w:val="000000"/>
                    </w:rPr>
                    <w:t>★8、器材符合国家标准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智能健身驿站</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1、主架结构</w:t>
                  </w:r>
                </w:p>
                <w:p>
                  <w:pPr>
                    <w:pStyle w:val="null3"/>
                    <w:jc w:val="left"/>
                  </w:pPr>
                  <w:r>
                    <w:rPr>
                      <w:rFonts w:ascii="仿宋_GB2312" w:hAnsi="仿宋_GB2312" w:cs="仿宋_GB2312" w:eastAsia="仿宋_GB2312"/>
                      <w:sz w:val="20"/>
                      <w:color w:val="000000"/>
                    </w:rPr>
                    <w:t>主架由四根立柱平均分布在圆周上；立柱由模压铝扣板、塑木板、方管组合而成，立柱两面是铝扣板，另两个对面为塑木板，结构低碳、环保、耐腐蚀，有效的延缓了器材褪色和生锈等现象，延长了器材的使用寿命；顶端采用</w:t>
                  </w:r>
                  <w:r>
                    <w:rPr>
                      <w:rFonts w:ascii="仿宋_GB2312" w:hAnsi="仿宋_GB2312" w:cs="仿宋_GB2312" w:eastAsia="仿宋_GB2312"/>
                      <w:sz w:val="20"/>
                      <w:color w:val="000000"/>
                    </w:rPr>
                    <w:t>Ω压板结构连接伞膜支架，优点是户外施工连接方便、稳固；器材各部位螺钉、平垫、弹垫等紧固件均采用不锈钢材质，具有防松、防盗措施。</w:t>
                  </w:r>
                </w:p>
                <w:p>
                  <w:pPr>
                    <w:pStyle w:val="null3"/>
                    <w:jc w:val="left"/>
                  </w:pPr>
                  <w:r>
                    <w:rPr>
                      <w:rFonts w:ascii="仿宋_GB2312" w:hAnsi="仿宋_GB2312" w:cs="仿宋_GB2312" w:eastAsia="仿宋_GB2312"/>
                      <w:sz w:val="20"/>
                      <w:color w:val="000000"/>
                    </w:rPr>
                    <w:t>2.伞膜结构</w:t>
                  </w:r>
                </w:p>
                <w:p>
                  <w:pPr>
                    <w:pStyle w:val="null3"/>
                    <w:jc w:val="left"/>
                  </w:pPr>
                  <w:r>
                    <w:rPr>
                      <w:rFonts w:ascii="仿宋_GB2312" w:hAnsi="仿宋_GB2312" w:cs="仿宋_GB2312" w:eastAsia="仿宋_GB2312"/>
                      <w:sz w:val="20"/>
                      <w:color w:val="000000"/>
                    </w:rPr>
                    <w:t>采用框架式连接悬空结构，通过中心外套管把支撑管、斜支撑管及连接杆连接在一起，形成稳定的三角形结构，均匀分布在中心外套管的圆周上，伞膜可以通过丝杠调节，达到涨紧的效果，使外观更加漂亮。</w:t>
                  </w:r>
                </w:p>
                <w:p>
                  <w:pPr>
                    <w:pStyle w:val="null3"/>
                    <w:jc w:val="left"/>
                  </w:pPr>
                  <w:r>
                    <w:rPr>
                      <w:rFonts w:ascii="仿宋_GB2312" w:hAnsi="仿宋_GB2312" w:cs="仿宋_GB2312" w:eastAsia="仿宋_GB2312"/>
                      <w:sz w:val="20"/>
                      <w:color w:val="000000"/>
                    </w:rPr>
                    <w:t>3.太阳能板</w:t>
                  </w:r>
                </w:p>
                <w:p>
                  <w:pPr>
                    <w:pStyle w:val="null3"/>
                    <w:jc w:val="left"/>
                  </w:pPr>
                  <w:r>
                    <w:rPr>
                      <w:rFonts w:ascii="仿宋_GB2312" w:hAnsi="仿宋_GB2312" w:cs="仿宋_GB2312" w:eastAsia="仿宋_GB2312"/>
                      <w:sz w:val="20"/>
                      <w:color w:val="000000"/>
                    </w:rPr>
                    <w:t>通过连接支架把太阳能板和伞膜结构连接在一起；连接管采用优质钢管，连接法兰采用优质钢板；太阳能板采用单晶光伏板，通过控制器给蓄电池充电，具有防过充、过流保护功能。本系统装有</w:t>
                  </w:r>
                  <w:r>
                    <w:rPr>
                      <w:rFonts w:ascii="仿宋_GB2312" w:hAnsi="仿宋_GB2312" w:cs="仿宋_GB2312" w:eastAsia="仿宋_GB2312"/>
                      <w:sz w:val="20"/>
                      <w:color w:val="000000"/>
                    </w:rPr>
                    <w:t>LED 灯用以提供夜间锻炼照明使用；并且可以通过蓝牙连接播放音乐；器材各部位螺钉、平垫、弹垫等紧固件均采用不锈钢材质，具有防松、防盗措施。</w:t>
                  </w:r>
                </w:p>
                <w:p>
                  <w:pPr>
                    <w:pStyle w:val="null3"/>
                    <w:jc w:val="left"/>
                  </w:pPr>
                  <w:r>
                    <w:rPr>
                      <w:rFonts w:ascii="仿宋_GB2312" w:hAnsi="仿宋_GB2312" w:cs="仿宋_GB2312" w:eastAsia="仿宋_GB2312"/>
                      <w:sz w:val="20"/>
                      <w:color w:val="000000"/>
                    </w:rPr>
                    <w:t>4.健身器材</w:t>
                  </w:r>
                </w:p>
                <w:p>
                  <w:pPr>
                    <w:pStyle w:val="null3"/>
                    <w:jc w:val="left"/>
                  </w:pPr>
                  <w:r>
                    <w:rPr>
                      <w:rFonts w:ascii="仿宋_GB2312" w:hAnsi="仿宋_GB2312" w:cs="仿宋_GB2312" w:eastAsia="仿宋_GB2312"/>
                      <w:sz w:val="20"/>
                      <w:color w:val="000000"/>
                    </w:rPr>
                    <w:t>⑴产品符合《室外健身器材的安全通用要求》国家标准</w:t>
                  </w:r>
                </w:p>
                <w:p>
                  <w:pPr>
                    <w:pStyle w:val="null3"/>
                    <w:jc w:val="left"/>
                  </w:pPr>
                  <w:r>
                    <w:rPr>
                      <w:rFonts w:ascii="仿宋_GB2312" w:hAnsi="仿宋_GB2312" w:cs="仿宋_GB2312" w:eastAsia="仿宋_GB2312"/>
                      <w:sz w:val="20"/>
                      <w:color w:val="000000"/>
                    </w:rPr>
                    <w:t>⑵四根立柱分别与四套器材连接，可供四人同时使用，可根据使用功能的不同，配置不同的器材；</w:t>
                  </w:r>
                </w:p>
                <w:p>
                  <w:pPr>
                    <w:pStyle w:val="null3"/>
                    <w:jc w:val="left"/>
                  </w:pPr>
                  <w:r>
                    <w:rPr>
                      <w:rFonts w:ascii="仿宋_GB2312" w:hAnsi="仿宋_GB2312" w:cs="仿宋_GB2312" w:eastAsia="仿宋_GB2312"/>
                      <w:sz w:val="20"/>
                      <w:color w:val="000000"/>
                    </w:rPr>
                    <w:t>⑶器材与立柱通过法兰盘连接在一起，起到稳固的作用；</w:t>
                  </w:r>
                </w:p>
                <w:p>
                  <w:pPr>
                    <w:pStyle w:val="null3"/>
                    <w:jc w:val="left"/>
                  </w:pPr>
                  <w:r>
                    <w:rPr>
                      <w:rFonts w:ascii="仿宋_GB2312" w:hAnsi="仿宋_GB2312" w:cs="仿宋_GB2312" w:eastAsia="仿宋_GB2312"/>
                      <w:sz w:val="20"/>
                      <w:color w:val="000000"/>
                    </w:rPr>
                    <w:t>★5、器材符合国家标准 GB19272-2024《室外健身器材的安全通用要求》并提供经国家认证认可监督管理委员会批准具备体育用品认证资格的第三方认证机构出具的认证证书及有效期内的确认函扫描件。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篮球</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优质</w:t>
                  </w:r>
                  <w:r>
                    <w:rPr>
                      <w:rFonts w:ascii="仿宋_GB2312" w:hAnsi="仿宋_GB2312" w:cs="仿宋_GB2312" w:eastAsia="仿宋_GB2312"/>
                      <w:sz w:val="20"/>
                      <w:color w:val="000000"/>
                    </w:rPr>
                    <w:t>PU吸湿皮革，表面防滑耐磨，手感柔和，吸汗不打滑</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羽毛球拍</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碳铝复合，一体成型工艺，强度高、不易变形断裂</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羽毛球</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球头：复合软木、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毛片：羽毛</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12只/桶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排球</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PVC+橡胶内胆</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乒乓球拍</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材质配置：面材采用高密度耐磨实木，击球手感通透、弹性均衡，兼顾速度与控制。双面高弹粘性反胶，一面黑色、一面鲜红色，色彩鲜亮、色差分明。</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乒乓球</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ABS材料、黄色/白色</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带</w:t>
                  </w:r>
                  <w:r>
                    <w:rPr>
                      <w:rFonts w:ascii="仿宋_GB2312" w:hAnsi="仿宋_GB2312" w:cs="仿宋_GB2312" w:eastAsia="仿宋_GB2312"/>
                      <w:sz w:val="21"/>
                    </w:rPr>
                    <w:t>“★”的参数需求为实质性要求，供应商必须响应并满足的参数需求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2、室外健身器材产品需提供制造商授权书。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各投标供应商报价需严格遵循《中华人民共和国政府采购法》、《中华人民共和国政府采购法实施条例》及现行政府采购相关政策法规，报价真实、合法、有效，严禁虚假报价、围标串标等违规行为，一经发现，取消投标资格。</w:t>
                  </w:r>
                  <w:r>
                    <w:br/>
                  </w:r>
                  <w:r>
                    <w:rPr>
                      <w:rFonts w:ascii="仿宋_GB2312" w:hAnsi="仿宋_GB2312" w:cs="仿宋_GB2312" w:eastAsia="仿宋_GB2312"/>
                      <w:sz w:val="21"/>
                    </w:rPr>
                    <w:t xml:space="preserve"> 3.</w:t>
                  </w:r>
                  <w:r>
                    <w:rPr>
                      <w:rFonts w:ascii="仿宋_GB2312" w:hAnsi="仿宋_GB2312" w:cs="仿宋_GB2312" w:eastAsia="仿宋_GB2312"/>
                      <w:sz w:val="21"/>
                    </w:rPr>
                    <w:t>采购报价清单中的单价、合价中均须包含设备从生产厂家到采购人指定地点的运输、装卸、现场安装、调试、操作人员技能培训、售后服务费、备品备件（如有）等费用，直至确保设备安装完毕后可正常投入使用并通过采购人验收全过程所需的一切相关费用的总和，采购人无需额外支付任何费用。</w:t>
                  </w:r>
                  <w:r>
                    <w:br/>
                  </w:r>
                  <w:r>
                    <w:rPr>
                      <w:rFonts w:ascii="仿宋_GB2312" w:hAnsi="仿宋_GB2312" w:cs="仿宋_GB2312" w:eastAsia="仿宋_GB2312"/>
                      <w:sz w:val="21"/>
                    </w:rPr>
                    <w:t xml:space="preserve"> 4.</w:t>
                  </w:r>
                  <w:r>
                    <w:rPr>
                      <w:rFonts w:ascii="仿宋_GB2312" w:hAnsi="仿宋_GB2312" w:cs="仿宋_GB2312" w:eastAsia="仿宋_GB2312"/>
                      <w:sz w:val="21"/>
                    </w:rPr>
                    <w:t>设备质量需严格符合国家相关行业标准</w:t>
                  </w:r>
                  <w:r>
                    <w:rPr>
                      <w:rFonts w:ascii="仿宋_GB2312" w:hAnsi="仿宋_GB2312" w:cs="仿宋_GB2312" w:eastAsia="仿宋_GB2312"/>
                      <w:sz w:val="21"/>
                    </w:rPr>
                    <w:t>，均为原厂全新正品，无简配、翻新、拼装、改装等情况。</w:t>
                  </w:r>
                  <w:r>
                    <w:br/>
                  </w:r>
                  <w:r>
                    <w:rPr>
                      <w:rFonts w:ascii="仿宋_GB2312" w:hAnsi="仿宋_GB2312" w:cs="仿宋_GB2312" w:eastAsia="仿宋_GB2312"/>
                      <w:sz w:val="21"/>
                    </w:rPr>
                    <w:t xml:space="preserve"> 5.</w:t>
                  </w:r>
                  <w:r>
                    <w:rPr>
                      <w:rFonts w:ascii="仿宋_GB2312" w:hAnsi="仿宋_GB2312" w:cs="仿宋_GB2312" w:eastAsia="仿宋_GB2312"/>
                      <w:sz w:val="21"/>
                    </w:rPr>
                    <w:t>税金要求：依据《中华人民共和国增值税法》、《中华人民共和国增值税法实施条例》，本项目增值税税率为</w:t>
                  </w:r>
                  <w:r>
                    <w:rPr>
                      <w:rFonts w:ascii="仿宋_GB2312" w:hAnsi="仿宋_GB2312" w:cs="仿宋_GB2312" w:eastAsia="仿宋_GB2312"/>
                      <w:sz w:val="21"/>
                    </w:rPr>
                    <w:t>13%</w:t>
                  </w:r>
                  <w:r>
                    <w:rPr>
                      <w:rFonts w:ascii="仿宋_GB2312" w:hAnsi="仿宋_GB2312" w:cs="仿宋_GB2312" w:eastAsia="仿宋_GB2312"/>
                      <w:sz w:val="21"/>
                    </w:rPr>
                    <w:t>。（供应商如为小规模企业，结合自身企业情况，据实报价）</w:t>
                  </w:r>
                  <w:r>
                    <w:br/>
                  </w:r>
                  <w:r>
                    <w:rPr>
                      <w:rFonts w:ascii="仿宋_GB2312" w:hAnsi="仿宋_GB2312" w:cs="仿宋_GB2312" w:eastAsia="仿宋_GB2312"/>
                      <w:sz w:val="21"/>
                    </w:rPr>
                    <w:t xml:space="preserve"> 6.</w:t>
                  </w:r>
                  <w:r>
                    <w:rPr>
                      <w:rFonts w:ascii="仿宋_GB2312" w:hAnsi="仿宋_GB2312" w:cs="仿宋_GB2312" w:eastAsia="仿宋_GB2312"/>
                      <w:sz w:val="21"/>
                    </w:rPr>
                    <w:t>报价有效期：自投标报价之日起至履约完结，投标报价保持不变，若期间内市场价格发生波动，投标报价不作调整（除合同另有约定外）。</w:t>
                  </w:r>
                  <w:r>
                    <w:br/>
                  </w:r>
                  <w:r>
                    <w:rPr>
                      <w:rFonts w:ascii="仿宋_GB2312" w:hAnsi="仿宋_GB2312" w:cs="仿宋_GB2312" w:eastAsia="仿宋_GB2312"/>
                      <w:sz w:val="21"/>
                    </w:rPr>
                    <w:t xml:space="preserve"> 7.</w:t>
                  </w:r>
                  <w:r>
                    <w:rPr>
                      <w:rFonts w:ascii="仿宋_GB2312" w:hAnsi="仿宋_GB2312" w:cs="仿宋_GB2312" w:eastAsia="仿宋_GB2312"/>
                      <w:sz w:val="21"/>
                    </w:rPr>
                    <w:t>售后服务要求：设备免费质保期不少于</w:t>
                  </w:r>
                  <w:r>
                    <w:rPr>
                      <w:rFonts w:ascii="仿宋_GB2312" w:hAnsi="仿宋_GB2312" w:cs="仿宋_GB2312" w:eastAsia="仿宋_GB2312"/>
                      <w:sz w:val="21"/>
                    </w:rPr>
                    <w:t>1</w:t>
                  </w:r>
                  <w:r>
                    <w:rPr>
                      <w:rFonts w:ascii="仿宋_GB2312" w:hAnsi="仿宋_GB2312" w:cs="仿宋_GB2312" w:eastAsia="仿宋_GB2312"/>
                      <w:sz w:val="21"/>
                    </w:rPr>
                    <w:t>年，质保期内出现非人为故障，投标供应商需负责免费维修、更换零部件，确保维修响应及时；质保期外提供终身维护服务，只收取成本费用。</w:t>
                  </w:r>
                  <w:r>
                    <w:br/>
                  </w:r>
                  <w:r>
                    <w:rPr>
                      <w:rFonts w:ascii="仿宋_GB2312" w:hAnsi="仿宋_GB2312" w:cs="仿宋_GB2312" w:eastAsia="仿宋_GB2312"/>
                      <w:sz w:val="21"/>
                    </w:rPr>
                    <w:t xml:space="preserve"> 8.</w:t>
                  </w:r>
                  <w:r>
                    <w:rPr>
                      <w:rFonts w:ascii="仿宋_GB2312" w:hAnsi="仿宋_GB2312" w:cs="仿宋_GB2312" w:eastAsia="仿宋_GB2312"/>
                      <w:sz w:val="21"/>
                    </w:rPr>
                    <w:t>交货期要求：合同签订后</w:t>
                  </w:r>
                  <w:r>
                    <w:rPr>
                      <w:rFonts w:ascii="仿宋_GB2312" w:hAnsi="仿宋_GB2312" w:cs="仿宋_GB2312" w:eastAsia="仿宋_GB2312"/>
                      <w:sz w:val="21"/>
                    </w:rPr>
                    <w:t>45</w:t>
                  </w:r>
                  <w:r>
                    <w:rPr>
                      <w:rFonts w:ascii="仿宋_GB2312" w:hAnsi="仿宋_GB2312" w:cs="仿宋_GB2312" w:eastAsia="仿宋_GB2312"/>
                      <w:sz w:val="21"/>
                    </w:rPr>
                    <w:t>个日历天内完成设备运输、安装、调试及验收，确保满足采购人使用需求，逾期交货的，按合同约定承担违约责任。</w:t>
                  </w:r>
                  <w:r>
                    <w:br/>
                  </w:r>
                  <w:r>
                    <w:rPr>
                      <w:rFonts w:ascii="仿宋_GB2312" w:hAnsi="仿宋_GB2312" w:cs="仿宋_GB2312" w:eastAsia="仿宋_GB2312"/>
                      <w:sz w:val="21"/>
                    </w:rPr>
                    <w:t xml:space="preserve"> 9.</w:t>
                  </w:r>
                  <w:r>
                    <w:rPr>
                      <w:rFonts w:ascii="仿宋_GB2312" w:hAnsi="仿宋_GB2312" w:cs="仿宋_GB2312" w:eastAsia="仿宋_GB2312"/>
                      <w:sz w:val="21"/>
                    </w:rPr>
                    <w:t>本报价清单经投标供应商盖章确认后，与采购合同具有同等法律效力。</w:t>
                  </w:r>
                  <w:r>
                    <w:br/>
                  </w:r>
                  <w:r>
                    <w:rPr>
                      <w:rFonts w:ascii="仿宋_GB2312" w:hAnsi="仿宋_GB2312" w:cs="仿宋_GB2312" w:eastAsia="仿宋_GB2312"/>
                      <w:sz w:val="21"/>
                    </w:rPr>
                    <w:t xml:space="preserve"> 10.</w:t>
                  </w:r>
                  <w:r>
                    <w:rPr>
                      <w:rFonts w:ascii="仿宋_GB2312" w:hAnsi="仿宋_GB2312" w:cs="仿宋_GB2312" w:eastAsia="仿宋_GB2312"/>
                      <w:sz w:val="21"/>
                    </w:rPr>
                    <w:t>验收要求：所有设备到货后，由采购人组织专业人员进行验收，对照本清单参数及验收标准逐一核查，验收合格后方可办理入库及付款手续；验收不合格的，投标供应商需在规定期限内整改或更换，直至验收合格，相关费用由投标供应商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洋县桑溪镇桑溪沟村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预付款，合同签订生效、承包人提交付款申请，达到付款条件起10个工作日内，支付合同总金额的30.0%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进度款，设备全部到货并经采购人初验合格，达到付款条件起10个工作日内，支付合同总金额的40.0%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进度款，设备安装调试完成，运行正常并通过最终验收，达到付款条件起10个工作日内，支付合同总金额的27.0%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其他，质保期满（质保期1年，自设备到场验收合格之日起计算）且无质量问题，达到付款条件起10个工作日内，支付合同总金额的3.0%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设备及配件到货数量、型号规格与合同一致，附齐全合格证明；安装调试后运行平稳、功能正常，满足生产要求；采购人组织到货清点、现场试运行，验收合格签署文件，不合格的由承包人限期整改并承担费用。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设备免费质保期不少于1年，质保期内出现非人为故障，投标供应商需负责免费维修、更换零部件，确保维修响应及时；质保期外提供终身维护服务，只收取成本费用。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违约责任与解决争议的方法：承包人逾期交货、安装调试不合格或提供侵权设备的，按合同约定承担违约金及全部损失；双方发生争议，协商不成的，向项目所在地人民法院提起诉讼。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分项报价表.docx 产品技术参数表 供应商应提交的相关资格证明材料.docx 中小企业声明函 残疾人福利性单位声明函 商务应答表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产品技术参数表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完全响应第三章3.3技术要求带★的实质性参数，实质性响应参数若负偏离则响应文件无效</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