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版本号：DXZB-2026-072420260731003</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放射治疗配套器械采购项目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DXZB-2026-0724</w:t>
      </w:r>
      <w:r>
        <w:br/>
      </w:r>
      <w:r>
        <w:br/>
      </w:r>
      <w:r>
        <w:br/>
      </w:r>
    </w:p>
    <w:p>
      <w:pPr>
        <w:pStyle w:val="null3"/>
        <w:jc w:val="center"/>
        <w:outlineLvl w:val="2"/>
      </w:pPr>
      <w:r>
        <w:rPr>
          <w:rFonts w:ascii="仿宋_GB2312" w:hAnsi="仿宋_GB2312" w:cs="仿宋_GB2312" w:eastAsia="仿宋_GB2312"/>
          <w:sz w:val="28"/>
          <w:b/>
        </w:rPr>
        <w:t>汉中市人民医院</w:t>
      </w:r>
    </w:p>
    <w:p>
      <w:pPr>
        <w:pStyle w:val="null3"/>
        <w:jc w:val="center"/>
        <w:outlineLvl w:val="2"/>
      </w:pPr>
      <w:r>
        <w:rPr>
          <w:rFonts w:ascii="仿宋_GB2312" w:hAnsi="仿宋_GB2312" w:cs="仿宋_GB2312" w:eastAsia="仿宋_GB2312"/>
          <w:sz w:val="28"/>
          <w:b/>
        </w:rPr>
        <w:t>陕西德信招标有限公司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陕西德信招标有限公司</w:t>
      </w:r>
      <w:r>
        <w:rPr>
          <w:rFonts w:ascii="仿宋_GB2312" w:hAnsi="仿宋_GB2312" w:cs="仿宋_GB2312" w:eastAsia="仿宋_GB2312"/>
        </w:rPr>
        <w:t>（以下简称“代理机构”）受</w:t>
      </w:r>
      <w:r>
        <w:rPr>
          <w:rFonts w:ascii="仿宋_GB2312" w:hAnsi="仿宋_GB2312" w:cs="仿宋_GB2312" w:eastAsia="仿宋_GB2312"/>
        </w:rPr>
        <w:t>汉中市人民医院</w:t>
      </w:r>
      <w:r>
        <w:rPr>
          <w:rFonts w:ascii="仿宋_GB2312" w:hAnsi="仿宋_GB2312" w:cs="仿宋_GB2312" w:eastAsia="仿宋_GB2312"/>
        </w:rPr>
        <w:t>委托，拟对</w:t>
      </w:r>
      <w:r>
        <w:rPr>
          <w:rFonts w:ascii="仿宋_GB2312" w:hAnsi="仿宋_GB2312" w:cs="仿宋_GB2312" w:eastAsia="仿宋_GB2312"/>
        </w:rPr>
        <w:t>放射治疗配套器械采购项目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DXZB-2026-0724</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放射治疗配套器械采购项目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汉中市人民医院购置放射治疗配套器械一批</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1、主体资格证明文件：具有独立承担民事责任能力的法人或非法人组织或自然人，提供合法有效的统一社会信用代码的营业执照等证明文件；</w:t>
      </w:r>
    </w:p>
    <w:p>
      <w:pPr>
        <w:pStyle w:val="null3"/>
      </w:pPr>
      <w:r>
        <w:rPr>
          <w:rFonts w:ascii="仿宋_GB2312" w:hAnsi="仿宋_GB2312" w:cs="仿宋_GB2312" w:eastAsia="仿宋_GB2312"/>
        </w:rPr>
        <w:t>2、法定代表人授权书：提供法定代表人授权委托书及被授权人身份证（投标人为法定代表人时，须提交法定代表人证明书）；</w:t>
      </w:r>
    </w:p>
    <w:p>
      <w:pPr>
        <w:pStyle w:val="null3"/>
      </w:pPr>
      <w:r>
        <w:rPr>
          <w:rFonts w:ascii="仿宋_GB2312" w:hAnsi="仿宋_GB2312" w:cs="仿宋_GB2312" w:eastAsia="仿宋_GB2312"/>
        </w:rPr>
        <w:t>3、特定资格要求：投标人为经销商的应出具医疗器械经营许可证或二类医疗器械备案凭证（投标产品须在其生产范围内）、投标产品属于医疗器械管理的提供医疗器械注册证；投标人为制造厂家的应出具医疗器械生产许可证（投标产品须在其生产范围内）、投标产品属于医疗器械管理的提供医疗器械注册证；</w:t>
      </w:r>
    </w:p>
    <w:p>
      <w:pPr>
        <w:pStyle w:val="null3"/>
      </w:pPr>
      <w:r>
        <w:rPr>
          <w:rFonts w:ascii="仿宋_GB2312" w:hAnsi="仿宋_GB2312" w:cs="仿宋_GB2312" w:eastAsia="仿宋_GB2312"/>
        </w:rPr>
        <w:t>4、基本资格条件承诺函：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须提供《汉中市政府采购供应商资格承诺函》 ；</w:t>
      </w:r>
    </w:p>
    <w:p>
      <w:pPr>
        <w:pStyle w:val="null3"/>
      </w:pPr>
      <w:r>
        <w:rPr>
          <w:rFonts w:ascii="仿宋_GB2312" w:hAnsi="仿宋_GB2312" w:cs="仿宋_GB2312" w:eastAsia="仿宋_GB2312"/>
        </w:rPr>
        <w:t>5、非联合体投标声明：本项目不接受联合体投标；</w:t>
      </w:r>
    </w:p>
    <w:p>
      <w:pPr>
        <w:pStyle w:val="null3"/>
      </w:pPr>
      <w:r>
        <w:rPr>
          <w:rFonts w:ascii="仿宋_GB2312" w:hAnsi="仿宋_GB2312" w:cs="仿宋_GB2312" w:eastAsia="仿宋_GB2312"/>
        </w:rPr>
        <w:t>6、信用主体查询：截止响应文件递交截止时间之前，供应商不得在“信用中国” 网站（ww w.creditchina.gov.cn）中被列入失信被执行人、重大税收违法失信主体名单、“ 中国政府采购网(www.ccgp.gov.cn)” 未被列入政府采购严重违法失信行为记录名单。</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汉中市人民医院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汉中市汉台区北团结街251号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汉中市人民医院经办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0916-2709356</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陕西德信招标有限公司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陕西省西安市雁塔区南二环东段凯森盛世一号B座4层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李敏</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029-82694900-9021</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汉中市汉台区政府采购管理股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李红</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13509168535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采购包1：3,000,000.00元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采购包1保证金金额：60,000.00元</w:t>
            </w:r>
          </w:p>
          <w:p>
            <w:pPr>
              <w:pStyle w:val="null3"/>
            </w:pPr>
            <w:r>
              <w:rPr>
                <w:rFonts w:ascii="仿宋_GB2312" w:hAnsi="仿宋_GB2312" w:cs="仿宋_GB2312" w:eastAsia="仿宋_GB2312"/>
              </w:rPr>
              <w:t>缴交渠道：转账、支票、汇票等（需通过实体账户、户名及开户行信息）,电子保函</w:t>
            </w:r>
          </w:p>
          <w:p>
            <w:pPr>
              <w:pStyle w:val="null3"/>
            </w:pPr>
            <w:r>
              <w:rPr>
                <w:rFonts w:ascii="仿宋_GB2312" w:hAnsi="仿宋_GB2312" w:cs="仿宋_GB2312" w:eastAsia="仿宋_GB2312"/>
              </w:rPr>
              <w:t>开户名称：陕西德信招标有限公司</w:t>
            </w:r>
          </w:p>
          <w:p>
            <w:pPr>
              <w:pStyle w:val="null3"/>
            </w:pPr>
            <w:r>
              <w:rPr>
                <w:rFonts w:ascii="仿宋_GB2312" w:hAnsi="仿宋_GB2312" w:cs="仿宋_GB2312" w:eastAsia="仿宋_GB2312"/>
              </w:rPr>
              <w:t>开户银行：西安银行东二环南段支行</w:t>
            </w:r>
          </w:p>
          <w:p>
            <w:pPr>
              <w:pStyle w:val="null3"/>
            </w:pPr>
            <w:r>
              <w:rPr>
                <w:rFonts w:ascii="仿宋_GB2312" w:hAnsi="仿宋_GB2312" w:cs="仿宋_GB2312" w:eastAsia="仿宋_GB2312"/>
              </w:rPr>
              <w:t>银行账号：209011580000073440</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代理服务费参照《国家计委关于印发&lt;招标代理服务收费管理暂行办法&gt;的通知》（计价格[2002]1980号）规定标准收取。（2）在领取（中标）成交通知书前由中标（成交）单位向陕西德信招标有限公司缴纳代理服务费。 中标（成交）服务费账户： 开户名称：陕西德信招标有限公司 开户银行：西安银行东二环南段支行 账 号：209011580000073440</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汉中市人民医院</w:t>
      </w:r>
      <w:r>
        <w:rPr>
          <w:rFonts w:ascii="仿宋_GB2312" w:hAnsi="仿宋_GB2312" w:cs="仿宋_GB2312" w:eastAsia="仿宋_GB2312"/>
        </w:rPr>
        <w:t>和</w:t>
      </w:r>
      <w:r>
        <w:rPr>
          <w:rFonts w:ascii="仿宋_GB2312" w:hAnsi="仿宋_GB2312" w:cs="仿宋_GB2312" w:eastAsia="仿宋_GB2312"/>
        </w:rPr>
        <w:t>陕西德信招标有限公司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汉中市人民医院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陕西德信招标有限公司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汉中市人民医院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陕西德信招标有限公司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符合国家行业现行验收标准。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陕西德信招标有限公司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陕西德信招标有限公司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陕西德信招标有限公司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联系人：李敏</w:t>
      </w:r>
    </w:p>
    <w:p>
      <w:pPr>
        <w:pStyle w:val="null3"/>
      </w:pPr>
      <w:r>
        <w:rPr>
          <w:rFonts w:ascii="仿宋_GB2312" w:hAnsi="仿宋_GB2312" w:cs="仿宋_GB2312" w:eastAsia="仿宋_GB2312"/>
        </w:rPr>
        <w:t>联系电话：029-82694900转9021</w:t>
      </w:r>
    </w:p>
    <w:p>
      <w:pPr>
        <w:pStyle w:val="null3"/>
      </w:pPr>
      <w:r>
        <w:rPr>
          <w:rFonts w:ascii="仿宋_GB2312" w:hAnsi="仿宋_GB2312" w:cs="仿宋_GB2312" w:eastAsia="仿宋_GB2312"/>
        </w:rPr>
        <w:t>地址：陕西省西安市雁塔区二环南路东段凯森盛世一号B座4层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汉中市人民医院购置放射治疗配套器械一批</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3,000,000.00</w:t>
      </w:r>
    </w:p>
    <w:p>
      <w:pPr>
        <w:pStyle w:val="null3"/>
      </w:pPr>
      <w:r>
        <w:rPr>
          <w:rFonts w:ascii="仿宋_GB2312" w:hAnsi="仿宋_GB2312" w:cs="仿宋_GB2312" w:eastAsia="仿宋_GB2312"/>
        </w:rPr>
        <w:t>采购包最高限价（元）: 3,000,000.00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三维剂量验证系统（射线束扫描测量系统）、三维水箱、全身集成定位架(含SBRT定位功能、SRS定位架、人体定位垫）等一批设备</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3,000,000.00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标的名称：三维剂量验证系统（射线束扫描测量系统）、三维水箱、全身集成定位架(含SBRT定位功能、SRS定位架、人体定位垫）等一批设备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b/>
                <w:color w:val="000000"/>
              </w:rPr>
              <w:t>一、采购清单</w:t>
            </w:r>
          </w:p>
          <w:tbl>
            <w:tblPr>
              <w:tblBorders>
                <w:top w:val="none" w:color="000000" w:sz="4"/>
                <w:left w:val="none" w:color="000000" w:sz="4"/>
                <w:bottom w:val="none" w:color="000000" w:sz="4"/>
                <w:right w:val="none" w:color="000000" w:sz="4"/>
                <w:insideH w:val="none"/>
                <w:insideV w:val="none"/>
              </w:tblBorders>
            </w:tblPr>
            <w:tblGrid>
              <w:gridCol w:w="339"/>
              <w:gridCol w:w="665"/>
              <w:gridCol w:w="339"/>
              <w:gridCol w:w="339"/>
              <w:gridCol w:w="525"/>
              <w:gridCol w:w="344"/>
            </w:tblGrid>
            <w:tr>
              <w:tc>
                <w:tcPr>
                  <w:tcW w:type="dxa" w:w="33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222222"/>
                    </w:rPr>
                    <w:t>序号</w:t>
                  </w:r>
                </w:p>
              </w:tc>
              <w:tc>
                <w:tcPr>
                  <w:tcW w:type="dxa" w:w="6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222222"/>
                    </w:rPr>
                    <w:t>产品名称</w:t>
                  </w:r>
                </w:p>
              </w:tc>
              <w:tc>
                <w:tcPr>
                  <w:tcW w:type="dxa" w:w="33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222222"/>
                    </w:rPr>
                    <w:t>数量</w:t>
                  </w:r>
                </w:p>
              </w:tc>
              <w:tc>
                <w:tcPr>
                  <w:tcW w:type="dxa" w:w="33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222222"/>
                    </w:rPr>
                    <w:t>单位</w:t>
                  </w:r>
                </w:p>
              </w:tc>
              <w:tc>
                <w:tcPr>
                  <w:tcW w:type="dxa" w:w="5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222222"/>
                    </w:rPr>
                    <w:t>预算金额（万元）</w:t>
                  </w:r>
                </w:p>
              </w:tc>
              <w:tc>
                <w:tcPr>
                  <w:tcW w:type="dxa" w:w="34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222222"/>
                    </w:rPr>
                    <w:t>备注</w:t>
                  </w:r>
                </w:p>
              </w:tc>
            </w:tr>
            <w:tr>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222222"/>
                    </w:rPr>
                    <w:t>1</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222222"/>
                    </w:rPr>
                    <w:t>三维剂量验证系统（射线束扫描测量系统）</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222222"/>
                    </w:rPr>
                    <w:t>1</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222222"/>
                    </w:rPr>
                    <w:t>套</w:t>
                  </w:r>
                </w:p>
              </w:tc>
              <w:tc>
                <w:tcPr>
                  <w:tcW w:type="dxa" w:w="52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222222"/>
                    </w:rPr>
                    <w:t>300</w:t>
                  </w:r>
                </w:p>
              </w:tc>
              <w:tc>
                <w:tcPr>
                  <w:tcW w:type="dxa" w:w="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222222"/>
                    </w:rPr>
                    <w:t>核心产品</w:t>
                  </w:r>
                </w:p>
              </w:tc>
            </w:tr>
            <w:tr>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222222"/>
                    </w:rPr>
                    <w:t>2</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222222"/>
                    </w:rPr>
                    <w:t>三维水箱</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222222"/>
                    </w:rPr>
                    <w:t>1</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222222"/>
                    </w:rPr>
                    <w:t>套</w:t>
                  </w:r>
                </w:p>
              </w:tc>
              <w:tc>
                <w:tcPr>
                  <w:tcW w:type="dxa" w:w="525"/>
                  <w:vMerge/>
                  <w:tcBorders>
                    <w:top w:val="none" w:color="000000" w:sz="4"/>
                    <w:left w:val="none" w:color="000000" w:sz="4"/>
                    <w:bottom w:val="single" w:color="000000" w:sz="4"/>
                    <w:right w:val="single" w:color="000000" w:sz="4"/>
                  </w:tcBorders>
                </w:tcPr>
                <w:p/>
              </w:tc>
              <w:tc>
                <w:tcPr>
                  <w:tcW w:type="dxa" w:w="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222222"/>
                    </w:rPr>
                    <w:t>/</w:t>
                  </w:r>
                </w:p>
              </w:tc>
            </w:tr>
            <w:tr>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222222"/>
                    </w:rPr>
                    <w:t>3</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全身集成定位架</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222222"/>
                    </w:rPr>
                    <w:t>2</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222222"/>
                    </w:rPr>
                    <w:t>套</w:t>
                  </w:r>
                </w:p>
              </w:tc>
              <w:tc>
                <w:tcPr>
                  <w:tcW w:type="dxa" w:w="525"/>
                  <w:vMerge/>
                  <w:tcBorders>
                    <w:top w:val="none" w:color="000000" w:sz="4"/>
                    <w:left w:val="none" w:color="000000" w:sz="4"/>
                    <w:bottom w:val="single" w:color="000000" w:sz="4"/>
                    <w:right w:val="single" w:color="000000" w:sz="4"/>
                  </w:tcBorders>
                </w:tcPr>
                <w:p/>
              </w:tc>
              <w:tc>
                <w:tcPr>
                  <w:tcW w:type="dxa" w:w="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222222"/>
                    </w:rPr>
                    <w:t>/</w:t>
                  </w:r>
                </w:p>
              </w:tc>
            </w:tr>
          </w:tbl>
          <w:p>
            <w:pPr>
              <w:pStyle w:val="null3"/>
              <w:jc w:val="both"/>
            </w:pPr>
            <w:r>
              <w:rPr>
                <w:rFonts w:ascii="仿宋_GB2312" w:hAnsi="仿宋_GB2312" w:cs="仿宋_GB2312" w:eastAsia="仿宋_GB2312"/>
                <w:sz w:val="24"/>
                <w:b/>
                <w:color w:val="000000"/>
              </w:rPr>
              <w:t>二、技术参数</w:t>
            </w:r>
          </w:p>
          <w:p>
            <w:pPr>
              <w:pStyle w:val="null3"/>
              <w:jc w:val="center"/>
            </w:pPr>
            <w:r>
              <w:rPr>
                <w:rFonts w:ascii="仿宋_GB2312" w:hAnsi="仿宋_GB2312" w:cs="仿宋_GB2312" w:eastAsia="仿宋_GB2312"/>
                <w:sz w:val="24"/>
                <w:b/>
              </w:rPr>
              <w:t>（一）</w:t>
            </w:r>
            <w:r>
              <w:rPr>
                <w:rFonts w:ascii="仿宋_GB2312" w:hAnsi="仿宋_GB2312" w:cs="仿宋_GB2312" w:eastAsia="仿宋_GB2312"/>
                <w:sz w:val="24"/>
                <w:b/>
                <w:color w:val="222222"/>
              </w:rPr>
              <w:t>三维剂量验证系统</w:t>
            </w:r>
            <w:r>
              <w:rPr>
                <w:rFonts w:ascii="仿宋_GB2312" w:hAnsi="仿宋_GB2312" w:cs="仿宋_GB2312" w:eastAsia="仿宋_GB2312"/>
                <w:sz w:val="24"/>
                <w:b/>
              </w:rPr>
              <w:t>技术参数</w:t>
            </w:r>
          </w:p>
          <w:tbl>
            <w:tblPr>
              <w:tblBorders>
                <w:top w:val="none" w:color="000000" w:sz="4"/>
                <w:left w:val="none" w:color="000000" w:sz="4"/>
                <w:bottom w:val="none" w:color="000000" w:sz="4"/>
                <w:right w:val="none" w:color="000000" w:sz="4"/>
                <w:insideH w:val="none"/>
                <w:insideV w:val="none"/>
              </w:tblBorders>
            </w:tblPr>
            <w:tblGrid>
              <w:gridCol w:w="2553"/>
            </w:tblGrid>
            <w:tr>
              <w:tc>
                <w:tcPr>
                  <w:tcW w:type="dxa" w:w="25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1.设备用途：</w:t>
                  </w:r>
                  <w:r>
                    <w:rPr>
                      <w:rFonts w:ascii="仿宋_GB2312" w:hAnsi="仿宋_GB2312" w:cs="仿宋_GB2312" w:eastAsia="仿宋_GB2312"/>
                      <w:sz w:val="24"/>
                    </w:rPr>
                    <w:t>用于放射治疗调强计划实施前的</w:t>
                  </w:r>
                  <w:r>
                    <w:rPr>
                      <w:rFonts w:ascii="仿宋_GB2312" w:hAnsi="仿宋_GB2312" w:cs="仿宋_GB2312" w:eastAsia="仿宋_GB2312"/>
                      <w:sz w:val="24"/>
                      <w:color w:val="000000"/>
                    </w:rPr>
                    <w:t>二维三维及容积</w:t>
                  </w:r>
                  <w:r>
                    <w:rPr>
                      <w:rFonts w:ascii="仿宋_GB2312" w:hAnsi="仿宋_GB2312" w:cs="仿宋_GB2312" w:eastAsia="仿宋_GB2312"/>
                      <w:sz w:val="24"/>
                    </w:rPr>
                    <w:t>剂量验证，支持固定野调强放疗（</w:t>
                  </w:r>
                  <w:r>
                    <w:rPr>
                      <w:rFonts w:ascii="仿宋_GB2312" w:hAnsi="仿宋_GB2312" w:cs="仿宋_GB2312" w:eastAsia="仿宋_GB2312"/>
                      <w:sz w:val="24"/>
                    </w:rPr>
                    <w:t>IMRT）和容积旋转调强放疗（VMAT），支持SBRT技术，支持TOMO等先进机型及常规直加机型。</w:t>
                  </w: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2.系统硬件技术要求：</w:t>
                  </w: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▲2.1探测器模体构造：圆筒形模体，里含立体弧形排列或交叉排列的探测器阵列；</w:t>
                  </w: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2.2探测器类型：电离室或半导体；</w:t>
                  </w: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2.3探测器数量：≥1000；</w:t>
                  </w: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2.4探测器有效体积：≤0.1cc；</w:t>
                  </w: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2.5探测器直径：</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w:t>
                  </w:r>
                  <w:r>
                    <w:rPr>
                      <w:rFonts w:ascii="仿宋_GB2312" w:hAnsi="仿宋_GB2312" w:cs="仿宋_GB2312" w:eastAsia="仿宋_GB2312"/>
                      <w:sz w:val="24"/>
                      <w:color w:val="000000"/>
                    </w:rPr>
                    <w:t>10</w:t>
                  </w:r>
                  <w:r>
                    <w:rPr>
                      <w:rFonts w:ascii="仿宋_GB2312" w:hAnsi="仿宋_GB2312" w:cs="仿宋_GB2312" w:eastAsia="仿宋_GB2312"/>
                      <w:sz w:val="24"/>
                      <w:color w:val="000000"/>
                    </w:rPr>
                    <w:t>mm ；</w:t>
                  </w: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2.6探测器高度：≤4.8mm ；</w:t>
                  </w: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2.7野最大测量范围：</w:t>
                  </w:r>
                  <w:r>
                    <w:rPr>
                      <w:rFonts w:ascii="仿宋_GB2312" w:hAnsi="仿宋_GB2312" w:cs="仿宋_GB2312" w:eastAsia="仿宋_GB2312"/>
                      <w:sz w:val="24"/>
                      <w:color w:val="000000"/>
                    </w:rPr>
                    <w:t>≥</w:t>
                  </w:r>
                  <w:r>
                    <w:rPr>
                      <w:rFonts w:ascii="仿宋_GB2312" w:hAnsi="仿宋_GB2312" w:cs="仿宋_GB2312" w:eastAsia="仿宋_GB2312"/>
                      <w:sz w:val="24"/>
                      <w:color w:val="000000"/>
                    </w:rPr>
                    <w:t>21X2</w:t>
                  </w:r>
                  <w:r>
                    <w:rPr>
                      <w:rFonts w:ascii="仿宋_GB2312" w:hAnsi="仿宋_GB2312" w:cs="仿宋_GB2312" w:eastAsia="仿宋_GB2312"/>
                      <w:sz w:val="24"/>
                      <w:color w:val="000000"/>
                    </w:rPr>
                    <w:t>1</w:t>
                  </w:r>
                  <w:r>
                    <w:rPr>
                      <w:rFonts w:ascii="仿宋_GB2312" w:hAnsi="仿宋_GB2312" w:cs="仿宋_GB2312" w:eastAsia="仿宋_GB2312"/>
                      <w:sz w:val="24"/>
                      <w:color w:val="000000"/>
                    </w:rPr>
                    <w:t>cm2 ；</w:t>
                  </w: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2.8探测值非线性：≤0.5%（≥10mGy）；</w:t>
                  </w: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2.9最大放射剂量率：≥</w:t>
                  </w:r>
                  <w:r>
                    <w:rPr>
                      <w:rFonts w:ascii="仿宋_GB2312" w:hAnsi="仿宋_GB2312" w:cs="仿宋_GB2312" w:eastAsia="仿宋_GB2312"/>
                      <w:sz w:val="24"/>
                    </w:rPr>
                    <w:t>14Gy/min ；</w:t>
                  </w: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2.10最小放射剂量率：≤</w:t>
                  </w:r>
                  <w:r>
                    <w:rPr>
                      <w:rFonts w:ascii="仿宋_GB2312" w:hAnsi="仿宋_GB2312" w:cs="仿宋_GB2312" w:eastAsia="仿宋_GB2312"/>
                      <w:sz w:val="24"/>
                    </w:rPr>
                    <w:t>0.2 Gy/min</w:t>
                  </w:r>
                  <w:r>
                    <w:rPr>
                      <w:rFonts w:ascii="仿宋_GB2312" w:hAnsi="仿宋_GB2312" w:cs="仿宋_GB2312" w:eastAsia="仿宋_GB2312"/>
                      <w:sz w:val="19"/>
                    </w:rPr>
                    <w:t xml:space="preserve"> </w:t>
                  </w:r>
                  <w:r>
                    <w:rPr>
                      <w:rFonts w:ascii="仿宋_GB2312" w:hAnsi="仿宋_GB2312" w:cs="仿宋_GB2312" w:eastAsia="仿宋_GB2312"/>
                      <w:sz w:val="24"/>
                    </w:rPr>
                    <w:t>；</w:t>
                  </w: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2.11测量一致性：≤1.5% ；</w:t>
                  </w: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2.12收集效率：≥0.99；</w:t>
                  </w: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2.13标称灵敏度：</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≤3</w:t>
                  </w:r>
                  <w:r>
                    <w:rPr>
                      <w:rFonts w:ascii="仿宋_GB2312" w:hAnsi="仿宋_GB2312" w:cs="仿宋_GB2312" w:eastAsia="仿宋_GB2312"/>
                      <w:sz w:val="24"/>
                      <w:color w:val="000000"/>
                    </w:rPr>
                    <w:t>2</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nc/Gy ；</w:t>
                  </w: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2.14重复性：≤0.5% ；</w:t>
                  </w: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2.15采样时间：≤120ms ；</w:t>
                  </w: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2.16含模体重量：≤18kg ；</w:t>
                  </w: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2.17建层材料：PMMA ；</w:t>
                  </w: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 xml:space="preserve">▲2.18模体尺寸： </w:t>
                  </w:r>
                  <w:r>
                    <w:rPr>
                      <w:rFonts w:ascii="仿宋_GB2312" w:hAnsi="仿宋_GB2312" w:cs="仿宋_GB2312" w:eastAsia="仿宋_GB2312"/>
                      <w:sz w:val="24"/>
                      <w:color w:val="000000"/>
                    </w:rPr>
                    <w:t>直径</w:t>
                  </w:r>
                  <w:r>
                    <w:rPr>
                      <w:rFonts w:ascii="仿宋_GB2312" w:hAnsi="仿宋_GB2312" w:cs="仿宋_GB2312" w:eastAsia="仿宋_GB2312"/>
                      <w:sz w:val="24"/>
                      <w:color w:val="000000"/>
                    </w:rPr>
                    <w:t>≥</w:t>
                  </w:r>
                  <w:r>
                    <w:rPr>
                      <w:rFonts w:ascii="仿宋_GB2312" w:hAnsi="仿宋_GB2312" w:cs="仿宋_GB2312" w:eastAsia="仿宋_GB2312"/>
                      <w:sz w:val="24"/>
                      <w:color w:val="000000"/>
                    </w:rPr>
                    <w:t>20</w:t>
                  </w:r>
                  <w:r>
                    <w:rPr>
                      <w:rFonts w:ascii="仿宋_GB2312" w:hAnsi="仿宋_GB2312" w:cs="仿宋_GB2312" w:eastAsia="仿宋_GB2312"/>
                      <w:sz w:val="24"/>
                      <w:color w:val="000000"/>
                    </w:rPr>
                    <w:t>0mm</w:t>
                  </w: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2.19模体可测量角度范围：360°；</w:t>
                  </w: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2.20电离室插件：可配备电离室插件，用于测量模体中心点剂量。</w:t>
                  </w: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3.系统软件技术要求：</w:t>
                  </w:r>
                  <w:r>
                    <w:rPr>
                      <w:rFonts w:ascii="仿宋_GB2312" w:hAnsi="仿宋_GB2312" w:cs="仿宋_GB2312" w:eastAsia="仿宋_GB2312"/>
                      <w:sz w:val="24"/>
                      <w:color w:val="000000"/>
                    </w:rPr>
                    <w:t>配备相应的</w:t>
                  </w:r>
                  <w:r>
                    <w:rPr>
                      <w:rFonts w:ascii="仿宋_GB2312" w:hAnsi="仿宋_GB2312" w:cs="仿宋_GB2312" w:eastAsia="仿宋_GB2312"/>
                      <w:sz w:val="24"/>
                      <w:color w:val="000000"/>
                    </w:rPr>
                    <w:t>2D、3D(及容积或4D)剂量验证分析软件</w:t>
                  </w: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3.1剂量分析：</w:t>
                  </w:r>
                  <w:r>
                    <w:rPr>
                      <w:rFonts w:ascii="仿宋_GB2312" w:hAnsi="仿宋_GB2312" w:cs="仿宋_GB2312" w:eastAsia="仿宋_GB2312"/>
                      <w:sz w:val="24"/>
                      <w:color w:val="000000"/>
                    </w:rPr>
                    <w:t>多个或单个平面的剂量分布曲线分析与误差比较；</w:t>
                  </w: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3.2剂量评估：</w:t>
                  </w:r>
                  <w:r>
                    <w:rPr>
                      <w:rFonts w:ascii="仿宋_GB2312" w:hAnsi="仿宋_GB2312" w:cs="仿宋_GB2312" w:eastAsia="仿宋_GB2312"/>
                      <w:sz w:val="24"/>
                      <w:color w:val="000000"/>
                    </w:rPr>
                    <w:t>多个或单个平面剂量的</w:t>
                  </w:r>
                  <w:r>
                    <w:rPr>
                      <w:rFonts w:ascii="仿宋_GB2312" w:hAnsi="仿宋_GB2312" w:cs="仿宋_GB2312" w:eastAsia="仿宋_GB2312"/>
                      <w:sz w:val="24"/>
                      <w:color w:val="000000"/>
                    </w:rPr>
                    <w:t>Gamma通过率评估；</w:t>
                  </w: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3.3角度分析：</w:t>
                  </w:r>
                  <w:r>
                    <w:rPr>
                      <w:rFonts w:ascii="仿宋_GB2312" w:hAnsi="仿宋_GB2312" w:cs="仿宋_GB2312" w:eastAsia="仿宋_GB2312"/>
                      <w:sz w:val="24"/>
                      <w:color w:val="000000"/>
                    </w:rPr>
                    <w:t>自动分析入射角度；</w:t>
                  </w: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3.4相关信息显示：</w:t>
                  </w:r>
                  <w:r>
                    <w:rPr>
                      <w:rFonts w:ascii="仿宋_GB2312" w:hAnsi="仿宋_GB2312" w:cs="仿宋_GB2312" w:eastAsia="仿宋_GB2312"/>
                      <w:sz w:val="24"/>
                      <w:color w:val="000000"/>
                    </w:rPr>
                    <w:t>能显示计划及射野相关信息；</w:t>
                  </w: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3.5平面剂量和</w:t>
                  </w:r>
                  <w:r>
                    <w:rPr>
                      <w:rFonts w:ascii="仿宋_GB2312" w:hAnsi="仿宋_GB2312" w:cs="仿宋_GB2312" w:eastAsia="仿宋_GB2312"/>
                      <w:sz w:val="24"/>
                      <w:color w:val="000000"/>
                    </w:rPr>
                    <w:t>Gamma值显示：能多平面或单平面剂量显示，多平面或单平面Gamma值显示；</w:t>
                  </w: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3.6三维剂量和</w:t>
                  </w:r>
                  <w:r>
                    <w:rPr>
                      <w:rFonts w:ascii="仿宋_GB2312" w:hAnsi="仿宋_GB2312" w:cs="仿宋_GB2312" w:eastAsia="仿宋_GB2312"/>
                      <w:sz w:val="24"/>
                      <w:color w:val="000000"/>
                    </w:rPr>
                    <w:t>Gamma值显示：能三维空间剂量显示，三维Gamma值显示；</w:t>
                  </w: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3.7自动管理：</w:t>
                  </w:r>
                  <w:r>
                    <w:rPr>
                      <w:rFonts w:ascii="仿宋_GB2312" w:hAnsi="仿宋_GB2312" w:cs="仿宋_GB2312" w:eastAsia="仿宋_GB2312"/>
                      <w:sz w:val="24"/>
                      <w:color w:val="000000"/>
                    </w:rPr>
                    <w:t>能自动管理患者的治疗计划数据，能自动管理所有的测量和分析数据；</w:t>
                  </w: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3.8</w:t>
                  </w:r>
                  <w:r>
                    <w:rPr>
                      <w:rFonts w:ascii="仿宋_GB2312" w:hAnsi="仿宋_GB2312" w:cs="仿宋_GB2312" w:eastAsia="仿宋_GB2312"/>
                      <w:sz w:val="24"/>
                      <w:color w:val="000000"/>
                    </w:rPr>
                    <w:t>Gamma计算：可完成绝对剂量、相对最大剂量值归一、相对中心点剂量归一三种类型的Gamma计算，可以自定义Gamma计算标准</w:t>
                  </w:r>
                  <w:r>
                    <w:rPr>
                      <w:rFonts w:ascii="仿宋_GB2312" w:hAnsi="仿宋_GB2312" w:cs="仿宋_GB2312" w:eastAsia="仿宋_GB2312"/>
                      <w:sz w:val="24"/>
                      <w:color w:val="000000"/>
                    </w:rPr>
                    <w:t>；</w:t>
                  </w: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3.9水平显示：</w:t>
                  </w:r>
                  <w:r>
                    <w:rPr>
                      <w:rFonts w:ascii="仿宋_GB2312" w:hAnsi="仿宋_GB2312" w:cs="仿宋_GB2312" w:eastAsia="仿宋_GB2312"/>
                      <w:sz w:val="24"/>
                      <w:color w:val="000000"/>
                    </w:rPr>
                    <w:t>支持水平调节显示；</w:t>
                  </w: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3.103D视图：</w:t>
                  </w:r>
                  <w:r>
                    <w:rPr>
                      <w:rFonts w:ascii="仿宋_GB2312" w:hAnsi="仿宋_GB2312" w:cs="仿宋_GB2312" w:eastAsia="仿宋_GB2312"/>
                      <w:sz w:val="24"/>
                      <w:color w:val="000000"/>
                    </w:rPr>
                    <w:t>支持射野的</w:t>
                  </w:r>
                  <w:r>
                    <w:rPr>
                      <w:rFonts w:ascii="仿宋_GB2312" w:hAnsi="仿宋_GB2312" w:cs="仿宋_GB2312" w:eastAsia="仿宋_GB2312"/>
                      <w:sz w:val="24"/>
                      <w:color w:val="000000"/>
                    </w:rPr>
                    <w:t>3D视图显示剂量分布；</w:t>
                  </w: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rPr>
                    <w:t>3.11</w:t>
                  </w:r>
                  <w:r>
                    <w:rPr>
                      <w:rFonts w:ascii="仿宋_GB2312" w:hAnsi="仿宋_GB2312" w:cs="仿宋_GB2312" w:eastAsia="仿宋_GB2312"/>
                      <w:sz w:val="19"/>
                    </w:rPr>
                    <w:t xml:space="preserve"> </w:t>
                  </w:r>
                  <w:r>
                    <w:rPr>
                      <w:rFonts w:ascii="仿宋_GB2312" w:hAnsi="仿宋_GB2312" w:cs="仿宋_GB2312" w:eastAsia="仿宋_GB2312"/>
                      <w:sz w:val="24"/>
                      <w:color w:val="000000"/>
                    </w:rPr>
                    <w:t>Gamma通过率查看：支持查看总野的Gamma通过率，支持查看Gamma直方图；</w:t>
                  </w: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3.12剂量分布图：</w:t>
                  </w:r>
                  <w:r>
                    <w:rPr>
                      <w:rFonts w:ascii="仿宋_GB2312" w:hAnsi="仿宋_GB2312" w:cs="仿宋_GB2312" w:eastAsia="仿宋_GB2312"/>
                      <w:sz w:val="24"/>
                      <w:color w:val="000000"/>
                    </w:rPr>
                    <w:t>通过剂量分布图来显示测量剂量和</w:t>
                  </w:r>
                  <w:r>
                    <w:rPr>
                      <w:rFonts w:ascii="仿宋_GB2312" w:hAnsi="仿宋_GB2312" w:cs="仿宋_GB2312" w:eastAsia="仿宋_GB2312"/>
                      <w:sz w:val="24"/>
                      <w:color w:val="000000"/>
                    </w:rPr>
                    <w:t>TPS剂量；</w:t>
                  </w: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3.13</w:t>
                  </w:r>
                  <w:r>
                    <w:rPr>
                      <w:rFonts w:ascii="仿宋_GB2312" w:hAnsi="仿宋_GB2312" w:cs="仿宋_GB2312" w:eastAsia="仿宋_GB2312"/>
                      <w:sz w:val="19"/>
                    </w:rPr>
                    <w:t xml:space="preserve"> </w:t>
                  </w:r>
                  <w:r>
                    <w:rPr>
                      <w:rFonts w:ascii="仿宋_GB2312" w:hAnsi="仿宋_GB2312" w:cs="仿宋_GB2312" w:eastAsia="仿宋_GB2312"/>
                      <w:sz w:val="24"/>
                      <w:color w:val="000000"/>
                    </w:rPr>
                    <w:t>Gamma分布图：显示总体的Gamma分布图；</w:t>
                  </w: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3.14软件数据库：</w:t>
                  </w:r>
                  <w:r>
                    <w:rPr>
                      <w:rFonts w:ascii="仿宋_GB2312" w:hAnsi="仿宋_GB2312" w:cs="仿宋_GB2312" w:eastAsia="仿宋_GB2312"/>
                      <w:sz w:val="24"/>
                      <w:color w:val="000000"/>
                    </w:rPr>
                    <w:t>支持数据库管理计划和测量数据；</w:t>
                  </w: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3.15软件数据接口：</w:t>
                  </w:r>
                  <w:r>
                    <w:rPr>
                      <w:rFonts w:ascii="仿宋_GB2312" w:hAnsi="仿宋_GB2312" w:cs="仿宋_GB2312" w:eastAsia="仿宋_GB2312"/>
                      <w:sz w:val="24"/>
                      <w:color w:val="000000"/>
                    </w:rPr>
                    <w:t>通过</w:t>
                  </w:r>
                  <w:r>
                    <w:rPr>
                      <w:rFonts w:ascii="仿宋_GB2312" w:hAnsi="仿宋_GB2312" w:cs="仿宋_GB2312" w:eastAsia="仿宋_GB2312"/>
                      <w:sz w:val="24"/>
                      <w:color w:val="000000"/>
                    </w:rPr>
                    <w:t>DICOM RT方式，实现无缝连接TPS治疗系统；</w:t>
                  </w: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3.16软件支持的调强：</w:t>
                  </w:r>
                  <w:r>
                    <w:rPr>
                      <w:rFonts w:ascii="仿宋_GB2312" w:hAnsi="仿宋_GB2312" w:cs="仿宋_GB2312" w:eastAsia="仿宋_GB2312"/>
                      <w:sz w:val="24"/>
                      <w:color w:val="000000"/>
                    </w:rPr>
                    <w:t>支持固定野调强剂量验证以及容积旋转调强剂量验证。</w:t>
                  </w: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4.系统整体配置要求</w:t>
                  </w: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4.1含探测器的模体1个</w:t>
                  </w: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4.2三维容积剂量验证分析系统1套</w:t>
                  </w: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4.3移动终端1台</w:t>
                  </w: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4.4电源及数据电缆1套</w:t>
                  </w: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4.5</w:t>
                  </w:r>
                  <w:r>
                    <w:rPr>
                      <w:rFonts w:ascii="仿宋_GB2312" w:hAnsi="仿宋_GB2312" w:cs="仿宋_GB2312" w:eastAsia="仿宋_GB2312"/>
                      <w:sz w:val="24"/>
                      <w:color w:val="000000"/>
                    </w:rPr>
                    <w:t>运转手推车</w:t>
                  </w:r>
                  <w:r>
                    <w:rPr>
                      <w:rFonts w:ascii="仿宋_GB2312" w:hAnsi="仿宋_GB2312" w:cs="仿宋_GB2312" w:eastAsia="仿宋_GB2312"/>
                      <w:sz w:val="24"/>
                      <w:color w:val="000000"/>
                    </w:rPr>
                    <w:t>1辆</w:t>
                  </w:r>
                </w:p>
              </w:tc>
            </w:tr>
          </w:tbl>
          <w:p>
            <w:pPr>
              <w:pStyle w:val="null3"/>
              <w:jc w:val="center"/>
            </w:pPr>
            <w:r>
              <w:rPr>
                <w:rFonts w:ascii="仿宋_GB2312" w:hAnsi="仿宋_GB2312" w:cs="仿宋_GB2312" w:eastAsia="仿宋_GB2312"/>
                <w:sz w:val="24"/>
                <w:b/>
              </w:rPr>
              <w:t>（二）三维水箱技术参数</w:t>
            </w:r>
          </w:p>
          <w:tbl>
            <w:tblPr>
              <w:tblBorders>
                <w:top w:val="none" w:color="000000" w:sz="4"/>
                <w:left w:val="none" w:color="000000" w:sz="4"/>
                <w:bottom w:val="none" w:color="000000" w:sz="4"/>
                <w:right w:val="none" w:color="000000" w:sz="4"/>
                <w:insideH w:val="none"/>
                <w:insideV w:val="none"/>
              </w:tblBorders>
            </w:tblPr>
            <w:tblGrid>
              <w:gridCol w:w="2553"/>
            </w:tblGrid>
            <w:tr>
              <w:tc>
                <w:tcPr>
                  <w:tcW w:type="dxa" w:w="25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1.箱体形状:立方体或圆形；</w:t>
                  </w: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2.箱体壁厚：≤15mm</w:t>
                  </w:r>
                  <w:r>
                    <w:rPr>
                      <w:rFonts w:ascii="仿宋_GB2312" w:hAnsi="仿宋_GB2312" w:cs="仿宋_GB2312" w:eastAsia="仿宋_GB2312"/>
                      <w:sz w:val="19"/>
                    </w:rPr>
                    <w:t xml:space="preserve"> </w:t>
                  </w:r>
                  <w:r>
                    <w:rPr>
                      <w:rFonts w:ascii="仿宋_GB2312" w:hAnsi="仿宋_GB2312" w:cs="仿宋_GB2312" w:eastAsia="仿宋_GB2312"/>
                      <w:sz w:val="24"/>
                    </w:rPr>
                    <w:t>；</w:t>
                  </w: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3.水容积：≥50L；</w:t>
                  </w: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.扫描范围≥(长x宽x高)：260mm x 260mm x 300mm；</w:t>
                  </w: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5</w:t>
                  </w:r>
                  <w:r>
                    <w:rPr>
                      <w:rFonts w:ascii="仿宋_GB2312" w:hAnsi="仿宋_GB2312" w:cs="仿宋_GB2312" w:eastAsia="仿宋_GB2312"/>
                      <w:sz w:val="24"/>
                    </w:rPr>
                    <w:t>.扫描模式：步进模式、连续模式；</w:t>
                  </w: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6</w:t>
                  </w:r>
                  <w:r>
                    <w:rPr>
                      <w:rFonts w:ascii="仿宋_GB2312" w:hAnsi="仿宋_GB2312" w:cs="仿宋_GB2312" w:eastAsia="仿宋_GB2312"/>
                      <w:sz w:val="24"/>
                    </w:rPr>
                    <w:t>.扫描速度范围：≤25.0 mm/sec；</w:t>
                  </w: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7</w:t>
                  </w:r>
                  <w:r>
                    <w:rPr>
                      <w:rFonts w:ascii="仿宋_GB2312" w:hAnsi="仿宋_GB2312" w:cs="仿宋_GB2312" w:eastAsia="仿宋_GB2312"/>
                      <w:sz w:val="24"/>
                    </w:rPr>
                    <w:t>.最小步进距离：≤0.1mm；</w:t>
                  </w: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8</w:t>
                  </w:r>
                  <w:r>
                    <w:rPr>
                      <w:rFonts w:ascii="仿宋_GB2312" w:hAnsi="仿宋_GB2312" w:cs="仿宋_GB2312" w:eastAsia="仿宋_GB2312"/>
                      <w:sz w:val="24"/>
                    </w:rPr>
                    <w:t>.重复性：≤0.1mm；</w:t>
                  </w: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rPr>
                    <w:t>9</w:t>
                  </w:r>
                  <w:r>
                    <w:rPr>
                      <w:rFonts w:ascii="仿宋_GB2312" w:hAnsi="仿宋_GB2312" w:cs="仿宋_GB2312" w:eastAsia="仿宋_GB2312"/>
                      <w:sz w:val="24"/>
                    </w:rPr>
                    <w:t>.</w:t>
                  </w:r>
                  <w:r>
                    <w:rPr>
                      <w:rFonts w:ascii="仿宋_GB2312" w:hAnsi="仿宋_GB2312" w:cs="仿宋_GB2312" w:eastAsia="仿宋_GB2312"/>
                      <w:sz w:val="24"/>
                    </w:rPr>
                    <w:t>驱动机构：</w:t>
                  </w:r>
                  <w:r>
                    <w:rPr>
                      <w:rFonts w:ascii="仿宋_GB2312" w:hAnsi="仿宋_GB2312" w:cs="仿宋_GB2312" w:eastAsia="仿宋_GB2312"/>
                      <w:sz w:val="24"/>
                    </w:rPr>
                    <w:t>三维伺服驱动，单臂悬挂或龙门架悬挂结构；</w:t>
                  </w: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10</w:t>
                  </w:r>
                  <w:r>
                    <w:rPr>
                      <w:rFonts w:ascii="仿宋_GB2312" w:hAnsi="仿宋_GB2312" w:cs="仿宋_GB2312" w:eastAsia="仿宋_GB2312"/>
                      <w:sz w:val="24"/>
                    </w:rPr>
                    <w:t>.离轴测量：支持电离室沿着射野中心轴，前后左右上下三维方向的扫描，及离轴曲线测量；</w:t>
                  </w: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1</w:t>
                  </w:r>
                  <w:r>
                    <w:rPr>
                      <w:rFonts w:ascii="仿宋_GB2312" w:hAnsi="仿宋_GB2312" w:cs="仿宋_GB2312" w:eastAsia="仿宋_GB2312"/>
                      <w:sz w:val="24"/>
                    </w:rPr>
                    <w:t>.控制装置：控制装置与水箱一体；</w:t>
                  </w: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2</w:t>
                  </w:r>
                  <w:r>
                    <w:rPr>
                      <w:rFonts w:ascii="仿宋_GB2312" w:hAnsi="仿宋_GB2312" w:cs="仿宋_GB2312" w:eastAsia="仿宋_GB2312"/>
                      <w:sz w:val="24"/>
                    </w:rPr>
                    <w:t>.手控盒：快速手动控制；</w:t>
                  </w: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3</w:t>
                  </w:r>
                  <w:r>
                    <w:rPr>
                      <w:rFonts w:ascii="仿宋_GB2312" w:hAnsi="仿宋_GB2312" w:cs="仿宋_GB2312" w:eastAsia="仿宋_GB2312"/>
                      <w:sz w:val="24"/>
                    </w:rPr>
                    <w:t>.软件：配备三维快速扫描应用软件；</w:t>
                  </w: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rPr>
                    <w:t>1</w:t>
                  </w:r>
                  <w:r>
                    <w:rPr>
                      <w:rFonts w:ascii="仿宋_GB2312" w:hAnsi="仿宋_GB2312" w:cs="仿宋_GB2312" w:eastAsia="仿宋_GB2312"/>
                      <w:sz w:val="24"/>
                    </w:rPr>
                    <w:t>4</w:t>
                  </w:r>
                  <w:r>
                    <w:rPr>
                      <w:rFonts w:ascii="仿宋_GB2312" w:hAnsi="仿宋_GB2312" w:cs="仿宋_GB2312" w:eastAsia="仿宋_GB2312"/>
                      <w:sz w:val="24"/>
                    </w:rPr>
                    <w:t>.静电计集成式的双通道静电计（剂量仪），与水箱架构一体式设计；</w:t>
                  </w: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5</w:t>
                  </w:r>
                  <w:r>
                    <w:rPr>
                      <w:rFonts w:ascii="仿宋_GB2312" w:hAnsi="仿宋_GB2312" w:cs="仿宋_GB2312" w:eastAsia="仿宋_GB2312"/>
                      <w:sz w:val="24"/>
                    </w:rPr>
                    <w:t>.静电计分辨率：≤10 fA；</w:t>
                  </w: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6</w:t>
                  </w:r>
                  <w:r>
                    <w:rPr>
                      <w:rFonts w:ascii="仿宋_GB2312" w:hAnsi="仿宋_GB2312" w:cs="仿宋_GB2312" w:eastAsia="仿宋_GB2312"/>
                      <w:sz w:val="24"/>
                    </w:rPr>
                    <w:t>.长期稳定性：≤±0.5%；</w:t>
                  </w: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7</w:t>
                  </w:r>
                  <w:r>
                    <w:rPr>
                      <w:rFonts w:ascii="仿宋_GB2312" w:hAnsi="仿宋_GB2312" w:cs="仿宋_GB2312" w:eastAsia="仿宋_GB2312"/>
                      <w:sz w:val="24"/>
                    </w:rPr>
                    <w:t>.重复性：≤±0.5% ；</w:t>
                  </w: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8</w:t>
                  </w:r>
                  <w:r>
                    <w:rPr>
                      <w:rFonts w:ascii="仿宋_GB2312" w:hAnsi="仿宋_GB2312" w:cs="仿宋_GB2312" w:eastAsia="仿宋_GB2312"/>
                      <w:sz w:val="24"/>
                    </w:rPr>
                    <w:t>.探测器类型：支持PTW，IBA ，SUNNUCLEAR等常规电离室；</w:t>
                  </w: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rPr>
                    <w:t>19</w:t>
                  </w:r>
                  <w:r>
                    <w:rPr>
                      <w:rFonts w:ascii="仿宋_GB2312" w:hAnsi="仿宋_GB2312" w:cs="仿宋_GB2312" w:eastAsia="仿宋_GB2312"/>
                      <w:sz w:val="24"/>
                    </w:rPr>
                    <w:t>.探测器灵敏体积及数量：≥0.125cc探头2支，配探头支架；</w:t>
                  </w: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0</w:t>
                  </w:r>
                  <w:r>
                    <w:rPr>
                      <w:rFonts w:ascii="仿宋_GB2312" w:hAnsi="仿宋_GB2312" w:cs="仿宋_GB2312" w:eastAsia="仿宋_GB2312"/>
                      <w:sz w:val="24"/>
                    </w:rPr>
                    <w:t>.定位方式：自动找水平和自动对位；</w:t>
                  </w: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1</w:t>
                  </w:r>
                  <w:r>
                    <w:rPr>
                      <w:rFonts w:ascii="仿宋_GB2312" w:hAnsi="仿宋_GB2312" w:cs="仿宋_GB2312" w:eastAsia="仿宋_GB2312"/>
                      <w:sz w:val="24"/>
                    </w:rPr>
                    <w:t>.测量方式：支持连续测量和步进测量方式；</w:t>
                  </w: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2</w:t>
                  </w:r>
                  <w:r>
                    <w:rPr>
                      <w:rFonts w:ascii="仿宋_GB2312" w:hAnsi="仿宋_GB2312" w:cs="仿宋_GB2312" w:eastAsia="仿宋_GB2312"/>
                      <w:sz w:val="24"/>
                    </w:rPr>
                    <w:t>.支持三种曲线类型：百分深度剂量(PDD)，离轴曲线(x方向、Y方向、对角线方向)和点剂量；</w:t>
                  </w: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3</w:t>
                  </w:r>
                  <w:r>
                    <w:rPr>
                      <w:rFonts w:ascii="仿宋_GB2312" w:hAnsi="仿宋_GB2312" w:cs="仿宋_GB2312" w:eastAsia="仿宋_GB2312"/>
                      <w:sz w:val="24"/>
                    </w:rPr>
                    <w:t>.自动化测量和分析：支持批量选择任务，自动测量、实时显示、自动数据处理、自动分析和评估；</w:t>
                  </w: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4</w:t>
                  </w:r>
                  <w:r>
                    <w:rPr>
                      <w:rFonts w:ascii="仿宋_GB2312" w:hAnsi="仿宋_GB2312" w:cs="仿宋_GB2312" w:eastAsia="仿宋_GB2312"/>
                      <w:sz w:val="24"/>
                    </w:rPr>
                    <w:t>.探测器库&amp;辐射单元库：含有探测器库和辐射单元库；</w:t>
                  </w: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5</w:t>
                  </w:r>
                  <w:r>
                    <w:rPr>
                      <w:rFonts w:ascii="仿宋_GB2312" w:hAnsi="仿宋_GB2312" w:cs="仿宋_GB2312" w:eastAsia="仿宋_GB2312"/>
                      <w:sz w:val="24"/>
                    </w:rPr>
                    <w:t>.测量数据的对比：支持不同时间测量数据的对比；</w:t>
                  </w: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6</w:t>
                  </w:r>
                  <w:r>
                    <w:rPr>
                      <w:rFonts w:ascii="仿宋_GB2312" w:hAnsi="仿宋_GB2312" w:cs="仿宋_GB2312" w:eastAsia="仿宋_GB2312"/>
                      <w:sz w:val="24"/>
                    </w:rPr>
                    <w:t>.测量数据的合并：支持不同时间测量数据的合并；</w:t>
                  </w: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7</w:t>
                  </w:r>
                  <w:r>
                    <w:rPr>
                      <w:rFonts w:ascii="仿宋_GB2312" w:hAnsi="仿宋_GB2312" w:cs="仿宋_GB2312" w:eastAsia="仿宋_GB2312"/>
                      <w:sz w:val="24"/>
                    </w:rPr>
                    <w:t>.PDD计算：支持PDD计算TMR/TPR；</w:t>
                  </w: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8</w:t>
                  </w:r>
                  <w:r>
                    <w:rPr>
                      <w:rFonts w:ascii="仿宋_GB2312" w:hAnsi="仿宋_GB2312" w:cs="仿宋_GB2312" w:eastAsia="仿宋_GB2312"/>
                      <w:sz w:val="24"/>
                    </w:rPr>
                    <w:t>.保修及其他：因设备主要用于直线加速器的全面年检，无需用于治疗计划系统（TPS）的初始建模。在保修期内如果加速器发生重大维修，需要重新建模的，供货商应当免费提供建模服务；</w:t>
                  </w: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29</w:t>
                  </w:r>
                  <w:r>
                    <w:rPr>
                      <w:rFonts w:ascii="仿宋_GB2312" w:hAnsi="仿宋_GB2312" w:cs="仿宋_GB2312" w:eastAsia="仿宋_GB2312"/>
                      <w:sz w:val="24"/>
                    </w:rPr>
                    <w:t>.配置系统操作移动终端配置:</w:t>
                  </w:r>
                </w:p>
                <w:p>
                  <w:pPr>
                    <w:pStyle w:val="null3"/>
                    <w:jc w:val="both"/>
                  </w:pPr>
                  <w:r>
                    <w:rPr>
                      <w:rFonts w:ascii="仿宋_GB2312" w:hAnsi="仿宋_GB2312" w:cs="仿宋_GB2312" w:eastAsia="仿宋_GB2312"/>
                      <w:sz w:val="24"/>
                    </w:rPr>
                    <w:t>CPU：≥i5处理器</w:t>
                  </w:r>
                </w:p>
                <w:p>
                  <w:pPr>
                    <w:pStyle w:val="null3"/>
                    <w:jc w:val="both"/>
                  </w:pPr>
                  <w:r>
                    <w:rPr>
                      <w:rFonts w:ascii="仿宋_GB2312" w:hAnsi="仿宋_GB2312" w:cs="仿宋_GB2312" w:eastAsia="仿宋_GB2312"/>
                      <w:sz w:val="24"/>
                    </w:rPr>
                    <w:t>内存：</w:t>
                  </w:r>
                  <w:r>
                    <w:rPr>
                      <w:rFonts w:ascii="仿宋_GB2312" w:hAnsi="仿宋_GB2312" w:cs="仿宋_GB2312" w:eastAsia="仿宋_GB2312"/>
                      <w:sz w:val="24"/>
                    </w:rPr>
                    <w:t>≥16G</w:t>
                  </w:r>
                </w:p>
                <w:p>
                  <w:pPr>
                    <w:pStyle w:val="null3"/>
                    <w:jc w:val="both"/>
                  </w:pPr>
                  <w:r>
                    <w:rPr>
                      <w:rFonts w:ascii="仿宋_GB2312" w:hAnsi="仿宋_GB2312" w:cs="仿宋_GB2312" w:eastAsia="仿宋_GB2312"/>
                      <w:sz w:val="24"/>
                    </w:rPr>
                    <w:t>硬盘：</w:t>
                  </w:r>
                  <w:r>
                    <w:rPr>
                      <w:rFonts w:ascii="仿宋_GB2312" w:hAnsi="仿宋_GB2312" w:cs="仿宋_GB2312" w:eastAsia="仿宋_GB2312"/>
                      <w:sz w:val="24"/>
                    </w:rPr>
                    <w:t>≥1TB</w:t>
                  </w:r>
                </w:p>
                <w:p>
                  <w:pPr>
                    <w:pStyle w:val="null3"/>
                    <w:jc w:val="both"/>
                  </w:pPr>
                  <w:r>
                    <w:rPr>
                      <w:rFonts w:ascii="仿宋_GB2312" w:hAnsi="仿宋_GB2312" w:cs="仿宋_GB2312" w:eastAsia="仿宋_GB2312"/>
                      <w:sz w:val="24"/>
                    </w:rPr>
                    <w:t>鼠标：配备</w:t>
                  </w:r>
                </w:p>
                <w:p>
                  <w:pPr>
                    <w:pStyle w:val="null3"/>
                    <w:spacing w:after="120"/>
                    <w:jc w:val="both"/>
                  </w:pPr>
                  <w:r>
                    <w:rPr>
                      <w:rFonts w:ascii="仿宋_GB2312" w:hAnsi="仿宋_GB2312" w:cs="仿宋_GB2312" w:eastAsia="仿宋_GB2312"/>
                      <w:sz w:val="24"/>
                    </w:rPr>
                    <w:t>操作系统：</w:t>
                  </w:r>
                  <w:r>
                    <w:rPr>
                      <w:rFonts w:ascii="仿宋_GB2312" w:hAnsi="仿宋_GB2312" w:cs="仿宋_GB2312" w:eastAsia="仿宋_GB2312"/>
                      <w:sz w:val="24"/>
                    </w:rPr>
                    <w:t>Windows10 ，64位</w:t>
                  </w: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0</w:t>
                  </w:r>
                  <w:r>
                    <w:rPr>
                      <w:rFonts w:ascii="仿宋_GB2312" w:hAnsi="仿宋_GB2312" w:cs="仿宋_GB2312" w:eastAsia="仿宋_GB2312"/>
                      <w:sz w:val="24"/>
                    </w:rPr>
                    <w:t>.运转台车：</w:t>
                  </w:r>
                  <w:r>
                    <w:rPr>
                      <w:rFonts w:ascii="仿宋_GB2312" w:hAnsi="仿宋_GB2312" w:cs="仿宋_GB2312" w:eastAsia="仿宋_GB2312"/>
                      <w:sz w:val="24"/>
                      <w:color w:val="000000"/>
                    </w:rPr>
                    <w:t>1辆。</w:t>
                  </w:r>
                </w:p>
              </w:tc>
            </w:tr>
          </w:tbl>
          <w:p>
            <w:pPr>
              <w:pStyle w:val="null3"/>
              <w:jc w:val="center"/>
            </w:pPr>
            <w:r>
              <w:rPr>
                <w:rFonts w:ascii="仿宋_GB2312" w:hAnsi="仿宋_GB2312" w:cs="仿宋_GB2312" w:eastAsia="仿宋_GB2312"/>
                <w:sz w:val="24"/>
                <w:b/>
              </w:rPr>
              <w:t>（三）全身集成定位架技术参数</w:t>
            </w:r>
          </w:p>
          <w:tbl>
            <w:tblPr>
              <w:tblBorders>
                <w:top w:val="none" w:color="000000" w:sz="4"/>
                <w:left w:val="none" w:color="000000" w:sz="4"/>
                <w:bottom w:val="none" w:color="000000" w:sz="4"/>
                <w:right w:val="none" w:color="000000" w:sz="4"/>
                <w:insideH w:val="none"/>
                <w:insideV w:val="none"/>
              </w:tblBorders>
            </w:tblPr>
            <w:tblGrid>
              <w:gridCol w:w="2553"/>
            </w:tblGrid>
            <w:tr>
              <w:tc>
                <w:tcPr>
                  <w:tcW w:type="dxa" w:w="25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1.全身集成定位架（含SBRT定位功能）：</w:t>
                  </w:r>
                  <w:r>
                    <w:rPr>
                      <w:rFonts w:ascii="仿宋_GB2312" w:hAnsi="仿宋_GB2312" w:cs="仿宋_GB2312" w:eastAsia="仿宋_GB2312"/>
                      <w:sz w:val="24"/>
                    </w:rPr>
                    <w:t>全碳纤维材质，模块化结构。由全身集成定位架、举臂支架、下肢延长板、呼吸控制弓形尺、脚垫及膝垫组成。可实现所有调强放疗体位固定及</w:t>
                  </w:r>
                  <w:r>
                    <w:rPr>
                      <w:rFonts w:ascii="仿宋_GB2312" w:hAnsi="仿宋_GB2312" w:cs="仿宋_GB2312" w:eastAsia="仿宋_GB2312"/>
                      <w:sz w:val="24"/>
                    </w:rPr>
                    <w:t>SBRT体位固定。体板主板长度：190-220cm,宽度：60-63cm, 厚度：2-5cm；重量£10KG。适配用户的医科达Infinity直线加速器和飞利浦大孔径CT的床面。</w:t>
                  </w: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2.SRS定位架：</w:t>
                  </w:r>
                  <w:r>
                    <w:rPr>
                      <w:rFonts w:ascii="仿宋_GB2312" w:hAnsi="仿宋_GB2312" w:cs="仿宋_GB2312" w:eastAsia="仿宋_GB2312"/>
                      <w:sz w:val="24"/>
                    </w:rPr>
                    <w:t>使用双层面膜或水活化垫将头部包裹固定。使头部在</w:t>
                  </w:r>
                  <w:r>
                    <w:rPr>
                      <w:rFonts w:ascii="仿宋_GB2312" w:hAnsi="仿宋_GB2312" w:cs="仿宋_GB2312" w:eastAsia="仿宋_GB2312"/>
                      <w:sz w:val="24"/>
                    </w:rPr>
                    <w:t>X，Y及Z轴方向都能得到可定靠固定，可配合使用牙托。</w:t>
                  </w: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3.人体定位垫：</w:t>
                  </w:r>
                  <w:r>
                    <w:rPr>
                      <w:rFonts w:ascii="仿宋_GB2312" w:hAnsi="仿宋_GB2312" w:cs="仿宋_GB2312" w:eastAsia="仿宋_GB2312"/>
                      <w:sz w:val="24"/>
                    </w:rPr>
                    <w:t>真空垫，自动密封。标准规格</w:t>
                  </w:r>
                  <w:r>
                    <w:rPr>
                      <w:rFonts w:ascii="仿宋_GB2312" w:hAnsi="仿宋_GB2312" w:cs="仿宋_GB2312" w:eastAsia="仿宋_GB2312"/>
                      <w:sz w:val="24"/>
                    </w:rPr>
                    <w:t>:≥120*80*4cm,填充量:≥35L。</w:t>
                  </w: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4.人体定位垫：</w:t>
                  </w:r>
                  <w:r>
                    <w:rPr>
                      <w:rFonts w:ascii="仿宋_GB2312" w:hAnsi="仿宋_GB2312" w:cs="仿宋_GB2312" w:eastAsia="仿宋_GB2312"/>
                      <w:sz w:val="24"/>
                    </w:rPr>
                    <w:t>真空垫，自动密封。规格：</w:t>
                  </w:r>
                  <w:r>
                    <w:rPr>
                      <w:rFonts w:ascii="仿宋_GB2312" w:hAnsi="仿宋_GB2312" w:cs="仿宋_GB2312" w:eastAsia="仿宋_GB2312"/>
                      <w:sz w:val="24"/>
                    </w:rPr>
                    <w:t>≥100*150cm*4cm定制，主要做乳腺和SBRT用，填充量:≥60L。</w:t>
                  </w: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5.头肩膜：≤</w:t>
                  </w:r>
                  <w:r>
                    <w:rPr>
                      <w:rFonts w:ascii="仿宋_GB2312" w:hAnsi="仿宋_GB2312" w:cs="仿宋_GB2312" w:eastAsia="仿宋_GB2312"/>
                      <w:sz w:val="24"/>
                    </w:rPr>
                    <w:t>2.5㎜厚，≤40％网眼，尺寸：510*540mm±10mm。</w:t>
                  </w: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6.颈胸膜：≤</w:t>
                  </w:r>
                  <w:r>
                    <w:rPr>
                      <w:rFonts w:ascii="仿宋_GB2312" w:hAnsi="仿宋_GB2312" w:cs="仿宋_GB2312" w:eastAsia="仿宋_GB2312"/>
                      <w:sz w:val="24"/>
                    </w:rPr>
                    <w:t>2.5㎜厚，≤40％网眼，尺寸：560*460mm±10mm。</w:t>
                  </w: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7.两边条体膜：≤</w:t>
                  </w:r>
                  <w:r>
                    <w:rPr>
                      <w:rFonts w:ascii="仿宋_GB2312" w:hAnsi="仿宋_GB2312" w:cs="仿宋_GB2312" w:eastAsia="仿宋_GB2312"/>
                      <w:sz w:val="24"/>
                    </w:rPr>
                    <w:t>2.5㎜厚，≤40％网眼，尺寸：560*460mm±10mm。</w:t>
                  </w: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8.配置要求：</w:t>
                  </w:r>
                </w:p>
                <w:tbl>
                  <w:tblPr>
                    <w:tblBorders>
                      <w:top w:val="none" w:color="000000" w:sz="4"/>
                      <w:left w:val="none" w:color="000000" w:sz="4"/>
                      <w:bottom w:val="none" w:color="000000" w:sz="4"/>
                      <w:right w:val="none" w:color="000000" w:sz="4"/>
                      <w:insideH w:val="none"/>
                      <w:insideV w:val="none"/>
                    </w:tblBorders>
                  </w:tblPr>
                  <w:tblGrid>
                    <w:gridCol w:w="1435"/>
                    <w:gridCol w:w="448"/>
                    <w:gridCol w:w="448"/>
                  </w:tblGrid>
                  <w:tr>
                    <w:tc>
                      <w:tcPr>
                        <w:tcW w:type="dxa" w:w="14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名称</w:t>
                        </w:r>
                      </w:p>
                    </w:tc>
                    <w:tc>
                      <w:tcPr>
                        <w:tcW w:type="dxa" w:w="4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单位</w:t>
                        </w:r>
                      </w:p>
                    </w:tc>
                    <w:tc>
                      <w:tcPr>
                        <w:tcW w:type="dxa" w:w="4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数量</w:t>
                        </w:r>
                      </w:p>
                    </w:tc>
                  </w:tr>
                  <w:tr>
                    <w:tc>
                      <w:tcPr>
                        <w:tcW w:type="dxa" w:w="1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全身集成定位架（含</w:t>
                        </w:r>
                        <w:r>
                          <w:rPr>
                            <w:rFonts w:ascii="仿宋_GB2312" w:hAnsi="仿宋_GB2312" w:cs="仿宋_GB2312" w:eastAsia="仿宋_GB2312"/>
                            <w:sz w:val="24"/>
                          </w:rPr>
                          <w:t>SBRT定位功能）</w:t>
                        </w:r>
                      </w:p>
                    </w:tc>
                    <w:tc>
                      <w:tcPr>
                        <w:tcW w:type="dxa" w:w="4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4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r>
                  <w:tr>
                    <w:tc>
                      <w:tcPr>
                        <w:tcW w:type="dxa" w:w="1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SRS定位架</w:t>
                        </w:r>
                      </w:p>
                    </w:tc>
                    <w:tc>
                      <w:tcPr>
                        <w:tcW w:type="dxa" w:w="4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4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r>
                  <w:tr>
                    <w:tc>
                      <w:tcPr>
                        <w:tcW w:type="dxa" w:w="1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人体定位垫</w:t>
                        </w:r>
                      </w:p>
                    </w:tc>
                    <w:tc>
                      <w:tcPr>
                        <w:tcW w:type="dxa" w:w="4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4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w:t>
                        </w:r>
                      </w:p>
                    </w:tc>
                  </w:tr>
                  <w:tr>
                    <w:tc>
                      <w:tcPr>
                        <w:tcW w:type="dxa" w:w="1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人体定位垫</w:t>
                        </w:r>
                      </w:p>
                    </w:tc>
                    <w:tc>
                      <w:tcPr>
                        <w:tcW w:type="dxa" w:w="4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4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r>
                  <w:tr>
                    <w:tc>
                      <w:tcPr>
                        <w:tcW w:type="dxa" w:w="1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头肩膜</w:t>
                        </w:r>
                      </w:p>
                    </w:tc>
                    <w:tc>
                      <w:tcPr>
                        <w:tcW w:type="dxa" w:w="4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张</w:t>
                        </w:r>
                      </w:p>
                    </w:tc>
                    <w:tc>
                      <w:tcPr>
                        <w:tcW w:type="dxa" w:w="4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w:t>
                        </w:r>
                      </w:p>
                    </w:tc>
                  </w:tr>
                  <w:tr>
                    <w:tc>
                      <w:tcPr>
                        <w:tcW w:type="dxa" w:w="1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颈胸膜</w:t>
                        </w:r>
                      </w:p>
                    </w:tc>
                    <w:tc>
                      <w:tcPr>
                        <w:tcW w:type="dxa" w:w="4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张</w:t>
                        </w:r>
                      </w:p>
                    </w:tc>
                    <w:tc>
                      <w:tcPr>
                        <w:tcW w:type="dxa" w:w="4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r>
                  <w:tr>
                    <w:tc>
                      <w:tcPr>
                        <w:tcW w:type="dxa" w:w="1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两边条体膜</w:t>
                        </w:r>
                      </w:p>
                    </w:tc>
                    <w:tc>
                      <w:tcPr>
                        <w:tcW w:type="dxa" w:w="4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张</w:t>
                        </w:r>
                      </w:p>
                    </w:tc>
                    <w:tc>
                      <w:tcPr>
                        <w:tcW w:type="dxa" w:w="4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w:t>
                        </w:r>
                      </w:p>
                    </w:tc>
                  </w:tr>
                </w:tbl>
                <w:p>
                  <w:pPr>
                    <w:pStyle w:val="null3"/>
                    <w:jc w:val="both"/>
                  </w:pP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自合同签订之日起45个日历日内交货。</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汉中市人民医院指定地点。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进度款，设备安装完成验收合格一个月后，付款前乙方须向甲方提交设备运行报告及甲方使用科室出具的书面确认意见，达到付款条件起15个工作日内，支付合同总金额的35.0%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设备安装完成投产质量验收合格且临床稳定运行满6个月，无未解决的重大质量问题后，付款前乙方须向甲方提交设备运行报告及甲方使用科室出具的书面确认意见，达到付款条件起15个工作日内，支付合同总金额的35.0%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设备安装完成投产质量验收合格且临床稳定运行满12个月，确认设备性能指标持续达标后，付款前乙方须向甲方提交设备运行报告及甲方使用科室出具的书面确认意见，达到付款条件起15个工作日内，支付合同总金额的30.0%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按照国家行业现行验收规范执行。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质保期≥5年。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详见签订后采购合同。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主体资格证明文件</w:t>
            </w:r>
          </w:p>
        </w:tc>
        <w:tc>
          <w:tcPr>
            <w:tcW w:type="dxa" w:w="3322"/>
          </w:tcPr>
          <w:p>
            <w:pPr>
              <w:pStyle w:val="null3"/>
            </w:pPr>
            <w:r>
              <w:rPr>
                <w:rFonts w:ascii="仿宋_GB2312" w:hAnsi="仿宋_GB2312" w:cs="仿宋_GB2312" w:eastAsia="仿宋_GB2312"/>
              </w:rPr>
              <w:t>具有独立承担民事责任能力的法人或非法人组织或自然人，提供合法有效的统一社会信用代码的营业执照等证明文件；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提供法定代表人授权委托书及被授权人身份证（投标人为法定代表人时，须提交法定代表人证明书）；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特定资格要求</w:t>
            </w:r>
          </w:p>
        </w:tc>
        <w:tc>
          <w:tcPr>
            <w:tcW w:type="dxa" w:w="3322"/>
          </w:tcPr>
          <w:p>
            <w:pPr>
              <w:pStyle w:val="null3"/>
            </w:pPr>
            <w:r>
              <w:rPr>
                <w:rFonts w:ascii="仿宋_GB2312" w:hAnsi="仿宋_GB2312" w:cs="仿宋_GB2312" w:eastAsia="仿宋_GB2312"/>
              </w:rPr>
              <w:t>投标人为经销商的应出具医疗器械经营许可证或二类医疗器械备案凭证（投标产品须在其生产范围内）、投标产品属于医疗器械管理的提供医疗器械注册证；投标人为制造厂家的应出具医疗器械生产许可证（投标产品须在其生产范围内）、投标产品属于医疗器械管理的提供医疗器械注册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基本资格条件承诺函</w:t>
            </w:r>
          </w:p>
        </w:tc>
        <w:tc>
          <w:tcPr>
            <w:tcW w:type="dxa" w:w="332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须提供《汉中市政府采购供应商资格承诺函》 ；</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非联合体投标声明</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信用主体查询</w:t>
            </w:r>
          </w:p>
        </w:tc>
        <w:tc>
          <w:tcPr>
            <w:tcW w:type="dxa" w:w="3322"/>
          </w:tcPr>
          <w:p>
            <w:pPr>
              <w:pStyle w:val="null3"/>
            </w:pPr>
            <w:r>
              <w:rPr>
                <w:rFonts w:ascii="仿宋_GB2312" w:hAnsi="仿宋_GB2312" w:cs="仿宋_GB2312" w:eastAsia="仿宋_GB2312"/>
              </w:rPr>
              <w:t>截止响应文件递交截止时间之前，供应商不得在“信用中国” 网站（ww w.creditchina.gov.cn）中被列入失信被执行人、重大税收违法失信主体名单、“ 中国政府采购网(www.ccgp.gov.cn)” 未被列入政府采购严重违法失信行为记录名单。</w:t>
            </w:r>
          </w:p>
        </w:tc>
        <w:tc>
          <w:tcPr>
            <w:tcW w:type="dxa" w:w="1661"/>
          </w:tcPr>
          <w:p>
            <w:pPr>
              <w:pStyle w:val="null3"/>
            </w:pPr>
            <w:r>
              <w:rPr>
                <w:rFonts w:ascii="仿宋_GB2312" w:hAnsi="仿宋_GB2312" w:cs="仿宋_GB2312" w:eastAsia="仿宋_GB2312"/>
              </w:rPr>
              <w:t>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审过程中，评审委员会认为供应商的报价明显低于其他通过符合性审查供应商的报价，有可能影响产品质量或者不能诚信履约的，评审委员会应当要求其在合理的时间内在项目电子化交易系统中上传说明材料，必要时提交相关证明材料。2.异常低价审查 2.1评审中出现下列情形之一的，评审委员会应当启动异常低价投标审查程序：（1）投标报价低于全部通过符合性审查供应商投标报价平均值50%的，即投标报价&lt;全部通过符合性审查供应商投标报价平均值×50%； （2）投标报价低于通过符合性审查的次低报价供应商投标报价50%的，即投标报价&lt;通过符合性审查的次低报价供应商投标报价×50%； （3）投标报价低于采购项目最高限价45%的，即投标报价&lt;采购项目最高限价×45%；（4）评标委员会基于专业判断，认为供应商报价过低，有可能影响产品质量或者不能诚信履约的其他情形。 相关法律法规对供应商报价有规定的，从其规定。 2.2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 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 3.投标人提交的相关说明和证明材料，应当加盖投标人（法定名称）电子印章，在评标委员会要求的时间内通过项目电子化交易系统进行提交，否则提交的相关证明材料无效。</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投标文件按招标文件要求签署、盖章</w:t>
            </w:r>
          </w:p>
        </w:tc>
        <w:tc>
          <w:tcPr>
            <w:tcW w:type="dxa" w:w="1661"/>
          </w:tcPr>
          <w:p>
            <w:pPr>
              <w:pStyle w:val="null3"/>
            </w:pPr>
            <w:r>
              <w:rPr>
                <w:rFonts w:ascii="仿宋_GB2312" w:hAnsi="仿宋_GB2312" w:cs="仿宋_GB2312" w:eastAsia="仿宋_GB2312"/>
              </w:rPr>
              <w:t>开标一览表 投标方案.docx 本国产品说明 中小企业声明函 中国境内生产的组件成本核算基本规则 资格证明文件.docx 投标人应提交的相关资格证明材料 投标人参加采购活动承诺书.docx 节能产品、环境标志产品证明材料.docx 投标分项报价表.docx 投标函 残疾人福利性单位声明函 标的清单 关于符合本国产品标准的声明函 投标文件封面 商务条款偏离表.docx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同时满足以下条款： （1）投标报价符合唯一性要求；（2）报价表填写符合要求； （3）报价货币符合招标文件要求； （4）未超出采购预算或招标文件规定的最高限价。</w:t>
            </w:r>
          </w:p>
        </w:tc>
        <w:tc>
          <w:tcPr>
            <w:tcW w:type="dxa" w:w="1661"/>
          </w:tcPr>
          <w:p>
            <w:pPr>
              <w:pStyle w:val="null3"/>
            </w:pPr>
            <w:r>
              <w:rPr>
                <w:rFonts w:ascii="仿宋_GB2312" w:hAnsi="仿宋_GB2312" w:cs="仿宋_GB2312" w:eastAsia="仿宋_GB2312"/>
              </w:rPr>
              <w:t>开标一览表 投标分项报价表.docx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实质性条款响应</w:t>
            </w:r>
          </w:p>
        </w:tc>
        <w:tc>
          <w:tcPr>
            <w:tcW w:type="dxa" w:w="3322"/>
          </w:tcPr>
          <w:p>
            <w:pPr>
              <w:pStyle w:val="null3"/>
            </w:pPr>
            <w:r>
              <w:rPr>
                <w:rFonts w:ascii="仿宋_GB2312" w:hAnsi="仿宋_GB2312" w:cs="仿宋_GB2312" w:eastAsia="仿宋_GB2312"/>
              </w:rPr>
              <w:t>按照采购项目全部商务要求及其他要求逐条响应，且不可负偏离，否则视为无效投标。</w:t>
            </w:r>
          </w:p>
        </w:tc>
        <w:tc>
          <w:tcPr>
            <w:tcW w:type="dxa" w:w="1661"/>
          </w:tcPr>
          <w:p>
            <w:pPr>
              <w:pStyle w:val="null3"/>
            </w:pPr>
            <w:r>
              <w:rPr>
                <w:rFonts w:ascii="仿宋_GB2312" w:hAnsi="仿宋_GB2312" w:cs="仿宋_GB2312" w:eastAsia="仿宋_GB2312"/>
              </w:rPr>
              <w:t>商务条款偏离表.docx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遵循公平竞争的原则，没有弄虚作假、恶意串通或妨碍其他投标人的竞争行为，损害采购人或者其他投标人的合法权益。</w:t>
            </w:r>
          </w:p>
        </w:tc>
        <w:tc>
          <w:tcPr>
            <w:tcW w:type="dxa" w:w="1661"/>
          </w:tcPr>
          <w:p>
            <w:pPr>
              <w:pStyle w:val="null3"/>
            </w:pPr>
            <w:r>
              <w:rPr>
                <w:rFonts w:ascii="仿宋_GB2312" w:hAnsi="仿宋_GB2312" w:cs="仿宋_GB2312" w:eastAsia="仿宋_GB2312"/>
              </w:rPr>
              <w:t>开标一览表 投标方案.docx 本国产品说明 中小企业声明函 中国境内生产的组件成本核算基本规则 资格证明文件.docx 投标人应提交的相关资格证明材料 投标人参加采购活动承诺书.docx 节能产品、环境标志产品证明材料.docx 投标分项报价表.docx 投标函 残疾人福利性单位声明函 标的清单 关于符合本国产品标准的声明函 投标文件封面 商务条款偏离表.docx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其它</w:t>
            </w:r>
          </w:p>
        </w:tc>
        <w:tc>
          <w:tcPr>
            <w:tcW w:type="dxa" w:w="3322"/>
          </w:tcPr>
          <w:p>
            <w:pPr>
              <w:pStyle w:val="null3"/>
            </w:pPr>
            <w:r>
              <w:rPr>
                <w:rFonts w:ascii="仿宋_GB2312" w:hAnsi="仿宋_GB2312" w:cs="仿宋_GB2312" w:eastAsia="仿宋_GB2312"/>
              </w:rPr>
              <w:t>不存在其它不符合法律法规或招标文件规定的投标无效条款的情形</w:t>
            </w:r>
          </w:p>
        </w:tc>
        <w:tc>
          <w:tcPr>
            <w:tcW w:type="dxa" w:w="1661"/>
          </w:tcPr>
          <w:p>
            <w:pPr>
              <w:pStyle w:val="null3"/>
            </w:pPr>
            <w:r>
              <w:rPr>
                <w:rFonts w:ascii="仿宋_GB2312" w:hAnsi="仿宋_GB2312" w:cs="仿宋_GB2312" w:eastAsia="仿宋_GB2312"/>
              </w:rPr>
              <w:t>开标一览表 投标方案.docx 本国产品说明 中小企业声明函 中国境内生产的组件成本核算基本规则 资格证明文件.docx 投标人应提交的相关资格证明材料 投标人参加采购活动承诺书.docx 节能产品、环境标志产品证明材料.docx 投标分项报价表.docx 投标函 残疾人福利性单位声明函 标的清单 关于符合本国产品标准的声明函 投标文件封面 商务条款偏离表.docx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投标产品技术指标及功能评审内容</w:t>
            </w:r>
          </w:p>
        </w:tc>
        <w:tc>
          <w:tcPr>
            <w:tcW w:type="dxa" w:w="2492"/>
          </w:tcPr>
          <w:p>
            <w:pPr>
              <w:pStyle w:val="null3"/>
            </w:pPr>
            <w:r>
              <w:rPr>
                <w:rFonts w:ascii="仿宋_GB2312" w:hAnsi="仿宋_GB2312" w:cs="仿宋_GB2312" w:eastAsia="仿宋_GB2312"/>
              </w:rPr>
              <w:t>依据各投标人响应的投标产品参数要求等情况进行评审：满足全部参数要求的计36分；标注“▲”项为关键参数，每一项负偏离扣3分，其他每一项负偏离扣2分，扣完为止。 备注：提供佐证材料（包括但不限于产品技术说明书、国家认可的第三方检测报告、产品官方网站截图等相关证明材料）予以证明参数的技术响应性，并标明在投标文件中的具体页码，若不提供材料或提供虚假参数及模糊不清无法辨认，未标注页码的，按负偏离处理。</w:t>
            </w:r>
          </w:p>
        </w:tc>
        <w:tc>
          <w:tcPr>
            <w:tcW w:type="dxa" w:w="831"/>
          </w:tcPr>
          <w:p>
            <w:pPr>
              <w:pStyle w:val="null3"/>
              <w:jc w:val="right"/>
            </w:pPr>
            <w:r>
              <w:rPr>
                <w:rFonts w:ascii="仿宋_GB2312" w:hAnsi="仿宋_GB2312" w:cs="仿宋_GB2312" w:eastAsia="仿宋_GB2312"/>
              </w:rPr>
              <w:t>36.0000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节能、环境标志产品</w:t>
            </w:r>
          </w:p>
        </w:tc>
        <w:tc>
          <w:tcPr>
            <w:tcW w:type="dxa" w:w="2492"/>
          </w:tcPr>
          <w:p>
            <w:pPr>
              <w:pStyle w:val="null3"/>
            </w:pPr>
            <w:r>
              <w:rPr>
                <w:rFonts w:ascii="仿宋_GB2312" w:hAnsi="仿宋_GB2312" w:cs="仿宋_GB2312" w:eastAsia="仿宋_GB2312"/>
              </w:rPr>
              <w:t>投标人所投产品含有属于政府优先采购产品类别的产品，须按照《财政部 发展改革委 生态环境部 市场监管总局关于调整优化节能产品、环境标志产品政府采购执行机制的通知》（财库〔2019〕9 号）、《关于印发节能产品政府采购品目清单的通知》（财库〔2019〕19 号）、《关于印发环境标志产品政府采购品目清单的通知》（财库〔2019〕18 号）、《市场监管总局关于发布参与实施政府采购节能产品、环境标志产品认证机构名录的公告》（2019 年第 16 号）要求提供国家确定的认证机构出具的、处于有效期之内的节能产品或环境标志产品认证证书，每提供一个得0.5分，满分1分。政府强制采购产品不予加分。 备注：以加盖投标人公章的证明材料为计分依据。</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vMerge/>
          </w:tcPr>
          <w:p/>
        </w:tc>
        <w:tc>
          <w:tcPr>
            <w:tcW w:type="dxa" w:w="1661"/>
          </w:tcPr>
          <w:p>
            <w:pPr>
              <w:pStyle w:val="null3"/>
            </w:pPr>
            <w:r>
              <w:rPr>
                <w:rFonts w:ascii="仿宋_GB2312" w:hAnsi="仿宋_GB2312" w:cs="仿宋_GB2312" w:eastAsia="仿宋_GB2312"/>
              </w:rPr>
              <w:t>产品来源渠道</w:t>
            </w:r>
          </w:p>
        </w:tc>
        <w:tc>
          <w:tcPr>
            <w:tcW w:type="dxa" w:w="2492"/>
          </w:tcPr>
          <w:p>
            <w:pPr>
              <w:pStyle w:val="null3"/>
            </w:pPr>
            <w:r>
              <w:rPr>
                <w:rFonts w:ascii="仿宋_GB2312" w:hAnsi="仿宋_GB2312" w:cs="仿宋_GB2312" w:eastAsia="仿宋_GB2312"/>
              </w:rPr>
              <w:t>提供产品来源渠道证明文件，包括但不限于销售协议、代理协议、原厂授权等，每提供一个产品证明材料，材料齐全且内容完全说明其渠道来源的得1分，共计3分，未提供不得分。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产品选型</w:t>
            </w:r>
          </w:p>
        </w:tc>
        <w:tc>
          <w:tcPr>
            <w:tcW w:type="dxa" w:w="2492"/>
          </w:tcPr>
          <w:p>
            <w:pPr>
              <w:pStyle w:val="null3"/>
            </w:pPr>
            <w:r>
              <w:rPr>
                <w:rFonts w:ascii="仿宋_GB2312" w:hAnsi="仿宋_GB2312" w:cs="仿宋_GB2312" w:eastAsia="仿宋_GB2312"/>
              </w:rPr>
              <w:t>针对本项目所投设备选型合理、功能齐全，设备技术先进，①配置齐全完全满足采购需求（详细的配置清单）；②提供产品备品备件价目表，并承诺质保期后的维修仍然按照备品备件表内价格收取费用。 每项满分2分，缺项不得分，每有一处内容存在缺陷，扣1分，扣完为止。 （缺陷是指内容缺项、不完整或缺少关键点、只有简单描述⽆实质性内容；⾮专⻔针对本项⽬或不适⽤本项⽬特性、套⽤其他项⽬内容；对同⼀问题前后表述⽭盾；存在逻辑漏洞、科学原理或常识错误；不利于本项⽬⽬标的实现、现有技术条件下不可能出现的情形等任意⼀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提供完整可⾏有针对性的实施⽅案，包含：①供货⽅案及保证措施；②技术⽀持⽅案；③安装调试⽅案；④验收⽅案。 方案各项内容全面详细、阐述条理清晰详尽、符合本项目采购需求，能有效保障本项目实施。 每项满分2分，缺项不得分，每有一处内容存在缺陷，扣1分，扣完为止。 （缺陷是指内容缺项、不完整或缺少关键点、只有简单描述⽆实质性内容；⾮专⻔针对本项⽬或不适⽤本项⽬特性、套⽤其他项⽬内容；对同⼀问题前后表述⽭盾；存在逻辑漏洞、科学原理或常识错误；不利于本项⽬⽬标的实现、现有技术条件下不可能出现的情形等任意⼀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售后及培训方案</w:t>
            </w:r>
          </w:p>
        </w:tc>
        <w:tc>
          <w:tcPr>
            <w:tcW w:type="dxa" w:w="2492"/>
          </w:tcPr>
          <w:p>
            <w:pPr>
              <w:pStyle w:val="null3"/>
            </w:pPr>
            <w:r>
              <w:rPr>
                <w:rFonts w:ascii="仿宋_GB2312" w:hAnsi="仿宋_GB2312" w:cs="仿宋_GB2312" w:eastAsia="仿宋_GB2312"/>
              </w:rPr>
              <w:t>内容包括：①售后服务范围及保障措施；②应急保障方案；③项目交付采购人后出现故障的响应时间、处理方式、补救措施；④培训方案； 售后服务方案各项内容全面详细、阐述条理清晰、针对性、可实施性强，能够向采购人提供专业的售后服务。 每项满分2分，缺项不得分，每有一处内容存在缺陷，扣1分，扣完为止。 （缺陷是指内容缺项、不完整或缺少关键点、只有简单描述⽆实质性内容；⾮专⻔针对本项⽬或不适⽤本项⽬特性、套⽤其他项⽬内容；对同⼀问题前后表述⽭盾；存在逻辑漏洞、科学原理或常识错误；不利于本项⽬⽬标的实现、现有技术条件下不可能出现的情形等任意⼀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提供所投核心产品2023年6月1日至今项目业绩，投标文件中附有其业绩证明材料，业绩以完整合同复印件为依据，每提供一个计1分，满分10分。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投标分项报价表.docx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满足招标文件要求且投标价格最低的投标报价为评标基准价，其价格分为满分。其他投标供应商的价格分统一按照下列公式计算：投标报价得分=（评标基准价/投标报价）×价格权值%×100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详见附件：投标分项报价表.docx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详见附件：商务条款偏离表.docx</w:t>
      </w:r>
    </w:p>
    <w:p>
      <w:pPr>
        <w:pStyle w:val="null3"/>
        <w:ind w:firstLine="960"/>
      </w:pPr>
      <w:r>
        <w:rPr>
          <w:rFonts w:ascii="仿宋_GB2312" w:hAnsi="仿宋_GB2312" w:cs="仿宋_GB2312" w:eastAsia="仿宋_GB2312"/>
        </w:rPr>
        <w:t>详见附件：投标人参加采购活动承诺书.docx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详见附件：节能产品、环境标志产品证明材料.docx</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详见附件：投标方案.docx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