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版本号：KY2026-1-73420260731001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产教融合实训基地项目-新能源汽车智联制造技术实践中心-新能源汽车动态性能评定检测线项目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KY2026-1-734</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产教融合实训基地项目-新能源汽车智联制造技术实践中心-新能源汽车动态性能评定检测线项目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KY2026-1-734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产教融合实训基地项目-新能源汽车智联制造技术实践中心-新能源汽车动态性能评定检测线项目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产教融合实训基地项目-新能源汽车智联制造技术实践中心-新能源汽车动态性能评定检测线项目，1批，具体内容详见招标文件第3章。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注：①提供审计报告的，根据《财政部关于注册会计师行业统一监管平台上线运行的通知》财办(2022)32号文件要求，审计报告须有清晰可扫描查询的二维码，若审计报告未赋码视为无效。 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银行账号：86113010750181502001528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说明：1、供应商应在收到中标(成交)通知书后、合同签订前 5 个工作日内，向采购人提交合同总价5%的履约保证金（供应商应当以银行转账、支票、汇票、本票或银行保函等非现金形式缴纳履约保证金，提交前就所选缴纳方式的具体要求与采购人财务部门确认）； 2、设备到货并由甲方验收合格后，采购人在收到供应商书面申请，经采购人确认供应商履行了合同约定的义务，无违约情形一次性予以无息退还。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暂行办法》(计价格[2002]1980号)和国家发改委颁发的《关于招标代理服务收费有关问题的通知》(发改办价格[2003]857号)收取。中标金额50万元及以下的，服务费定额4500元；中标金额50万元以上的，按照标准的77%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踏勘时间：2026-08-10 10:00:00</w:t>
            </w:r>
          </w:p>
          <w:p>
            <w:pPr>
              <w:pStyle w:val="null3"/>
              <w:ind w:firstLine="975"/>
            </w:pPr>
            <w:r>
              <w:rPr>
                <w:rFonts w:ascii="仿宋_GB2312" w:hAnsi="仿宋_GB2312" w:cs="仿宋_GB2312" w:eastAsia="仿宋_GB2312"/>
              </w:rPr>
              <w:t>踏勘地点：陕西职业技术学院白鹿原校区东北门集合</w:t>
            </w:r>
          </w:p>
          <w:p>
            <w:pPr>
              <w:pStyle w:val="null3"/>
              <w:ind w:firstLine="975"/>
            </w:pPr>
            <w:r>
              <w:rPr>
                <w:rFonts w:ascii="仿宋_GB2312" w:hAnsi="仿宋_GB2312" w:cs="仿宋_GB2312" w:eastAsia="仿宋_GB2312"/>
              </w:rPr>
              <w:t>联系人：何老师</w:t>
            </w:r>
          </w:p>
          <w:p>
            <w:pPr>
              <w:pStyle w:val="null3"/>
              <w:ind w:firstLine="975"/>
            </w:pPr>
            <w:r>
              <w:rPr>
                <w:rFonts w:ascii="仿宋_GB2312" w:hAnsi="仿宋_GB2312" w:cs="仿宋_GB2312" w:eastAsia="仿宋_GB2312"/>
              </w:rPr>
              <w:t>联系电话号码：13609283727</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联系人：杭琨、韩婷</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产教融合实训基地项目-新能源汽车智联制造技术实践中心-新能源汽车动态性能评定检测线项目，1批，详见采购技术要求。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1,720,000.00</w:t>
      </w:r>
    </w:p>
    <w:p>
      <w:pPr>
        <w:pStyle w:val="null3"/>
      </w:pPr>
      <w:r>
        <w:rPr>
          <w:rFonts w:ascii="仿宋_GB2312" w:hAnsi="仿宋_GB2312" w:cs="仿宋_GB2312" w:eastAsia="仿宋_GB2312"/>
        </w:rPr>
        <w:t>采购包最高限价（元）: 1,720,000.00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新能源汽车动态性能评定检测线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标的名称：新能源汽车动态性能评定检测线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一、采购清单</w:t>
            </w:r>
          </w:p>
          <w:tbl>
            <w:tblPr>
              <w:tblBorders>
                <w:top w:val="none" w:color="000000" w:sz="4"/>
                <w:left w:val="none" w:color="000000" w:sz="4"/>
                <w:bottom w:val="none" w:color="000000" w:sz="4"/>
                <w:right w:val="none" w:color="000000" w:sz="4"/>
                <w:insideH w:val="none"/>
                <w:insideV w:val="none"/>
              </w:tblBorders>
            </w:tblPr>
            <w:tblGrid>
              <w:gridCol w:w="175"/>
              <w:gridCol w:w="233"/>
              <w:gridCol w:w="777"/>
              <w:gridCol w:w="214"/>
              <w:gridCol w:w="252"/>
              <w:gridCol w:w="214"/>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序号</w:t>
                  </w:r>
                </w:p>
              </w:tc>
              <w:tc>
                <w:tcPr>
                  <w:tcW w:type="dxa" w:w="1010"/>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设备（平台）名称</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单位</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数量</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备注</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2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机动车鉴定评估工具包</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汽车电子数据勘查测试仪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233"/>
                  <w:vMerge/>
                  <w:tcBorders>
                    <w:top w:val="none" w:color="000000" w:sz="4"/>
                    <w:left w:val="none" w:color="000000" w:sz="4"/>
                    <w:bottom w:val="single" w:color="000000" w:sz="4"/>
                    <w:right w:val="single" w:color="000000" w:sz="4"/>
                  </w:tcBorders>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制动性能测试仪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233"/>
                  <w:vMerge/>
                  <w:tcBorders>
                    <w:top w:val="none" w:color="000000" w:sz="4"/>
                    <w:left w:val="none" w:color="000000" w:sz="4"/>
                    <w:bottom w:val="single" w:color="000000" w:sz="4"/>
                    <w:right w:val="single" w:color="000000" w:sz="4"/>
                  </w:tcBorders>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方向盘转向力-转向角检测仪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233"/>
                  <w:vMerge/>
                  <w:tcBorders>
                    <w:top w:val="none" w:color="000000" w:sz="4"/>
                    <w:left w:val="none" w:color="000000" w:sz="4"/>
                    <w:bottom w:val="single" w:color="000000" w:sz="4"/>
                    <w:right w:val="single" w:color="000000" w:sz="4"/>
                  </w:tcBorders>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制动踏板操纵力计</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233"/>
                  <w:vMerge/>
                  <w:tcBorders>
                    <w:top w:val="none" w:color="000000" w:sz="4"/>
                    <w:left w:val="none" w:color="000000" w:sz="4"/>
                    <w:bottom w:val="single" w:color="000000" w:sz="4"/>
                    <w:right w:val="single" w:color="000000" w:sz="4"/>
                  </w:tcBorders>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涂层测厚仪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w:t>
                  </w:r>
                </w:p>
              </w:tc>
              <w:tc>
                <w:tcPr>
                  <w:tcW w:type="dxa" w:w="233"/>
                  <w:vMerge/>
                  <w:tcBorders>
                    <w:top w:val="none" w:color="000000" w:sz="4"/>
                    <w:left w:val="none" w:color="000000" w:sz="4"/>
                    <w:bottom w:val="single" w:color="000000" w:sz="4"/>
                    <w:right w:val="single" w:color="000000" w:sz="4"/>
                  </w:tcBorders>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驻车制动性能测试仪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7</w:t>
                  </w:r>
                </w:p>
              </w:tc>
              <w:tc>
                <w:tcPr>
                  <w:tcW w:type="dxa" w:w="233"/>
                  <w:vMerge/>
                  <w:tcBorders>
                    <w:top w:val="none" w:color="000000" w:sz="4"/>
                    <w:left w:val="none" w:color="000000" w:sz="4"/>
                    <w:bottom w:val="single" w:color="000000" w:sz="4"/>
                    <w:right w:val="single" w:color="000000" w:sz="4"/>
                  </w:tcBorders>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汽车侧滑检验台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8</w:t>
                  </w:r>
                </w:p>
              </w:tc>
              <w:tc>
                <w:tcPr>
                  <w:tcW w:type="dxa" w:w="233"/>
                  <w:vMerge/>
                  <w:tcBorders>
                    <w:top w:val="none" w:color="000000" w:sz="4"/>
                    <w:left w:val="none" w:color="000000" w:sz="4"/>
                    <w:bottom w:val="single" w:color="000000" w:sz="4"/>
                    <w:right w:val="single" w:color="000000" w:sz="4"/>
                  </w:tcBorders>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逆反射系数测量仪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w:t>
                  </w:r>
                </w:p>
              </w:tc>
              <w:tc>
                <w:tcPr>
                  <w:tcW w:type="dxa" w:w="101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机动车鉴定评估平台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w:t>
                  </w:r>
                </w:p>
              </w:tc>
              <w:tc>
                <w:tcPr>
                  <w:tcW w:type="dxa" w:w="101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机动车司法鉴定平台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核心产品</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11</w:t>
                  </w:r>
                </w:p>
              </w:tc>
              <w:tc>
                <w:tcPr>
                  <w:tcW w:type="dxa" w:w="101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新能源汽车整车测试台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12</w:t>
                  </w:r>
                </w:p>
              </w:tc>
              <w:tc>
                <w:tcPr>
                  <w:tcW w:type="dxa" w:w="101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汽车电气安全检验台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8"/>
                <w:b/>
              </w:rPr>
              <w:t>二、技术要求</w:t>
            </w:r>
          </w:p>
          <w:tbl>
            <w:tblPr>
              <w:tblBorders>
                <w:top w:val="none" w:color="000000" w:sz="4"/>
                <w:left w:val="none" w:color="000000" w:sz="4"/>
                <w:bottom w:val="none" w:color="000000" w:sz="4"/>
                <w:right w:val="none" w:color="000000" w:sz="4"/>
                <w:insideH w:val="none"/>
                <w:insideV w:val="none"/>
              </w:tblBorders>
            </w:tblPr>
            <w:tblGrid>
              <w:gridCol w:w="131"/>
              <w:gridCol w:w="131"/>
              <w:gridCol w:w="196"/>
              <w:gridCol w:w="1155"/>
              <w:gridCol w:w="349"/>
              <w:gridCol w:w="174"/>
            </w:tblGrid>
            <w:tr>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序号</w:t>
                  </w:r>
                </w:p>
              </w:tc>
              <w:tc>
                <w:tcPr>
                  <w:tcW w:type="dxa" w:w="327"/>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设备（平台）名称</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主要参数</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台/套)</w:t>
                  </w:r>
                </w:p>
              </w:tc>
              <w:tc>
                <w:tcPr>
                  <w:tcW w:type="dxa" w:w="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数量</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机动车鉴定评估工具包</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汽车电子数据勘查测试仪</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（一）功能</w:t>
                  </w:r>
                </w:p>
                <w:p>
                  <w:pPr>
                    <w:pStyle w:val="null3"/>
                    <w:jc w:val="both"/>
                  </w:pPr>
                  <w:r>
                    <w:rPr>
                      <w:rFonts w:ascii="仿宋_GB2312" w:hAnsi="仿宋_GB2312" w:cs="仿宋_GB2312" w:eastAsia="仿宋_GB2312"/>
                      <w:sz w:val="21"/>
                    </w:rPr>
                    <w:t>能够开展汽车电子数据现场勘查与取证工作，提取车辆EDR、ECU、行车记录仪等数据。具备检测实验项目布置、结果数据分析解析的能力，包含当前车辆安全性能标准、指标体系资源，支持不同车型的检测参数；同时适配多课程实操。</w:t>
                  </w:r>
                </w:p>
                <w:p>
                  <w:pPr>
                    <w:pStyle w:val="null3"/>
                    <w:jc w:val="both"/>
                  </w:pPr>
                  <w:r>
                    <w:rPr>
                      <w:rFonts w:ascii="仿宋_GB2312" w:hAnsi="仿宋_GB2312" w:cs="仿宋_GB2312" w:eastAsia="仿宋_GB2312"/>
                      <w:sz w:val="21"/>
                    </w:rPr>
                    <w:t>（二）参数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一体式设备，</w:t>
                  </w:r>
                </w:p>
                <w:p>
                  <w:pPr>
                    <w:pStyle w:val="null3"/>
                    <w:jc w:val="both"/>
                  </w:pPr>
                  <w:r>
                    <w:rPr>
                      <w:rFonts w:ascii="仿宋_GB2312" w:hAnsi="仿宋_GB2312" w:cs="仿宋_GB2312" w:eastAsia="仿宋_GB2312"/>
                      <w:sz w:val="21"/>
                    </w:rPr>
                    <w:t xml:space="preserve">1.1 </w:t>
                  </w:r>
                  <w:r>
                    <w:rPr>
                      <w:rFonts w:ascii="仿宋_GB2312" w:hAnsi="仿宋_GB2312" w:cs="仿宋_GB2312" w:eastAsia="仿宋_GB2312"/>
                      <w:sz w:val="21"/>
                    </w:rPr>
                    <w:t>配备触摸屏：尺寸≥5.7 英寸，分辨率≥1080*2160；</w:t>
                  </w:r>
                </w:p>
                <w:p>
                  <w:pPr>
                    <w:pStyle w:val="null3"/>
                    <w:jc w:val="both"/>
                  </w:pPr>
                  <w:r>
                    <w:rPr>
                      <w:rFonts w:ascii="仿宋_GB2312" w:hAnsi="仿宋_GB2312" w:cs="仿宋_GB2312" w:eastAsia="仿宋_GB2312"/>
                      <w:sz w:val="21"/>
                    </w:rPr>
                    <w:t xml:space="preserve">1.2 CPU </w:t>
                  </w:r>
                  <w:r>
                    <w:rPr>
                      <w:rFonts w:ascii="仿宋_GB2312" w:hAnsi="仿宋_GB2312" w:cs="仿宋_GB2312" w:eastAsia="仿宋_GB2312"/>
                      <w:sz w:val="21"/>
                    </w:rPr>
                    <w:t>主频≥ 1.5GHz，内存≥ 6GB，存储容量≥ 64GB；</w:t>
                  </w:r>
                </w:p>
                <w:p>
                  <w:pPr>
                    <w:pStyle w:val="null3"/>
                    <w:jc w:val="both"/>
                  </w:pPr>
                  <w:r>
                    <w:rPr>
                      <w:rFonts w:ascii="仿宋_GB2312" w:hAnsi="仿宋_GB2312" w:cs="仿宋_GB2312" w:eastAsia="仿宋_GB2312"/>
                      <w:sz w:val="21"/>
                    </w:rPr>
                    <w:t xml:space="preserve">1.3 </w:t>
                  </w:r>
                  <w:r>
                    <w:rPr>
                      <w:rFonts w:ascii="仿宋_GB2312" w:hAnsi="仿宋_GB2312" w:cs="仿宋_GB2312" w:eastAsia="仿宋_GB2312"/>
                      <w:sz w:val="21"/>
                    </w:rPr>
                    <w:t>配置信号输出通道和诊断通讯、信号采集通道；</w:t>
                  </w:r>
                </w:p>
                <w:p>
                  <w:pPr>
                    <w:pStyle w:val="null3"/>
                    <w:jc w:val="both"/>
                  </w:pPr>
                  <w:r>
                    <w:rPr>
                      <w:rFonts w:ascii="仿宋_GB2312" w:hAnsi="仿宋_GB2312" w:cs="仿宋_GB2312" w:eastAsia="仿宋_GB2312"/>
                      <w:sz w:val="21"/>
                    </w:rPr>
                    <w:t xml:space="preserve">1.4 </w:t>
                  </w:r>
                  <w:r>
                    <w:rPr>
                      <w:rFonts w:ascii="仿宋_GB2312" w:hAnsi="仿宋_GB2312" w:cs="仿宋_GB2312" w:eastAsia="仿宋_GB2312"/>
                      <w:sz w:val="21"/>
                    </w:rPr>
                    <w:t>配置汽车电子控制单元数据提取系统、行驶记录仪数据提取解析系统、套牌车查验系统、行车记录仪采集及恢复系统、内窥镜拍照等主要功能；</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内置汽车电子数据提取和解析软件；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汽车事故取证：</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支持品牌和车型更新；支持≥100个汽车品牌，包含燃油车及新能源车型，至少可提取碰撞速度、碰撞严重度、安全带状态及碰撞短时间缓存信息等数据；</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支持碰撞前5秒速度/加速度变化信息、加速踏板位置、刹车、方向盘转角、事故时间以及安全带状态等信息，可采集车辆如下参数：</w:t>
                  </w:r>
                </w:p>
                <w:p>
                  <w:pPr>
                    <w:pStyle w:val="null3"/>
                    <w:jc w:val="both"/>
                  </w:pPr>
                  <w:r>
                    <w:rPr>
                      <w:rFonts w:ascii="仿宋_GB2312" w:hAnsi="仿宋_GB2312" w:cs="仿宋_GB2312" w:eastAsia="仿宋_GB2312"/>
                      <w:sz w:val="21"/>
                    </w:rPr>
                    <w:t>（1）碰撞时间：碰撞前5秒；速度变化量：触发阈值≥8 km/h/150ms（≥25km/h或气囊展开则锁定防覆盖）；</w:t>
                  </w:r>
                </w:p>
                <w:p>
                  <w:pPr>
                    <w:pStyle w:val="null3"/>
                    <w:jc w:val="left"/>
                  </w:pPr>
                  <w:r>
                    <w:rPr>
                      <w:rFonts w:ascii="仿宋_GB2312" w:hAnsi="仿宋_GB2312" w:cs="仿宋_GB2312" w:eastAsia="仿宋_GB2312"/>
                      <w:sz w:val="21"/>
                    </w:rPr>
                    <w:t>（2）车辆制动状态：开启/关闭；</w:t>
                  </w:r>
                </w:p>
                <w:p>
                  <w:pPr>
                    <w:pStyle w:val="null3"/>
                    <w:jc w:val="left"/>
                  </w:pPr>
                  <w:r>
                    <w:rPr>
                      <w:rFonts w:ascii="仿宋_GB2312" w:hAnsi="仿宋_GB2312" w:cs="仿宋_GB2312" w:eastAsia="仿宋_GB2312"/>
                      <w:sz w:val="21"/>
                    </w:rPr>
                    <w:t>（3）车速：0~250km/h；燃油车发动机转速</w:t>
                  </w:r>
                  <w:r>
                    <w:rPr>
                      <w:rFonts w:ascii="仿宋_GB2312" w:hAnsi="仿宋_GB2312" w:cs="仿宋_GB2312" w:eastAsia="仿宋_GB2312"/>
                      <w:sz w:val="21"/>
                    </w:rPr>
                    <w:t>：0–8000+ rpm，新能源车电机转速：0-15000rpm；</w:t>
                  </w:r>
                </w:p>
                <w:p>
                  <w:pPr>
                    <w:pStyle w:val="null3"/>
                    <w:jc w:val="both"/>
                  </w:pPr>
                  <w:r>
                    <w:rPr>
                      <w:rFonts w:ascii="仿宋_GB2312" w:hAnsi="仿宋_GB2312" w:cs="仿宋_GB2312" w:eastAsia="仿宋_GB2312"/>
                      <w:sz w:val="21"/>
                    </w:rPr>
                    <w:t>（4）安全带状态：驾驶员/乘客安全带 已系/未系；</w:t>
                  </w:r>
                </w:p>
                <w:p>
                  <w:pPr>
                    <w:pStyle w:val="null3"/>
                    <w:jc w:val="left"/>
                  </w:pPr>
                  <w:r>
                    <w:rPr>
                      <w:rFonts w:ascii="仿宋_GB2312" w:hAnsi="仿宋_GB2312" w:cs="仿宋_GB2312" w:eastAsia="仿宋_GB2312"/>
                      <w:sz w:val="21"/>
                    </w:rPr>
                    <w:t>（5）加速踏板位置：0~100%；</w:t>
                  </w:r>
                </w:p>
                <w:p>
                  <w:pPr>
                    <w:pStyle w:val="null3"/>
                    <w:jc w:val="left"/>
                  </w:pPr>
                  <w:r>
                    <w:rPr>
                      <w:rFonts w:ascii="仿宋_GB2312" w:hAnsi="仿宋_GB2312" w:cs="仿宋_GB2312" w:eastAsia="仿宋_GB2312"/>
                      <w:sz w:val="21"/>
                    </w:rPr>
                    <w:t>（6）安全气囊状态：毫秒级标志（未展开/已展开/阶段点火等）；</w:t>
                  </w:r>
                </w:p>
                <w:p>
                  <w:pPr>
                    <w:pStyle w:val="null3"/>
                    <w:jc w:val="left"/>
                  </w:pPr>
                  <w:r>
                    <w:rPr>
                      <w:rFonts w:ascii="仿宋_GB2312" w:hAnsi="仿宋_GB2312" w:cs="仿宋_GB2312" w:eastAsia="仿宋_GB2312"/>
                      <w:sz w:val="21"/>
                    </w:rPr>
                    <w:t>（7）转向盘转角：±720°（依转向系统极限）；</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汽车电控单元数据提取：可提取车架号、电控故障码以及发动机电脑、变速箱电脑、车身电脑、安全气囊等零部件的信息、“两客一危”车辆取证分析：支持≥95%大型车辆行驶系统，可提取车辆行驶轨迹以及行驶速度、疲劳驾驶记录、转向、制动系统等操作记录；</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内窥镜拍照：支持内窥镜拍照；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套牌车查验：支持≥75%的品牌原始车架号识别；</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报告存证/出证：支持报告实时存证；可出具司法鉴定报告；</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支持案件的新建、分享、导出等功能；支持内窥镜拍照采集和结果浏览；支持导出案件取证报告；支持行车记录仪视频采集；需满足实训场景使用，支持对实际车辆环境给学生进行实训使用。</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31"/>
                  <w:vMerge/>
                  <w:tcBorders>
                    <w:top w:val="none" w:color="000000" w:sz="4"/>
                    <w:left w:val="none" w:color="000000" w:sz="4"/>
                    <w:bottom w:val="singl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制动性能测试仪</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（一）功能</w:t>
                  </w:r>
                </w:p>
                <w:p>
                  <w:pPr>
                    <w:pStyle w:val="null3"/>
                    <w:jc w:val="both"/>
                  </w:pPr>
                  <w:r>
                    <w:rPr>
                      <w:rFonts w:ascii="仿宋_GB2312" w:hAnsi="仿宋_GB2312" w:cs="仿宋_GB2312" w:eastAsia="仿宋_GB2312"/>
                      <w:sz w:val="21"/>
                    </w:rPr>
                    <w:t>能够完成机动车制动系统性能检测，获取制动减速度、制动响应时间、制动距离等关键指标，完成车辆制动性能合规性判定，适配多类型车辆的现场及室内制动检测工作，具备自动连接，链接任何配件，检测人员跟车操作。具备检测实验项目布置、结果数据分析解析，包含当前最新的车辆安全性能标准、指标体系资源，支持不同车型的检测参数。</w:t>
                  </w:r>
                </w:p>
                <w:p>
                  <w:pPr>
                    <w:pStyle w:val="null3"/>
                    <w:jc w:val="both"/>
                  </w:pPr>
                  <w:r>
                    <w:rPr>
                      <w:rFonts w:ascii="仿宋_GB2312" w:hAnsi="仿宋_GB2312" w:cs="仿宋_GB2312" w:eastAsia="仿宋_GB2312"/>
                      <w:sz w:val="21"/>
                    </w:rPr>
                    <w:t>（二）参数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；内嵌≥32位单片机，可存储≥200组车辆信息，可输入9位数车牌号；可打印测试曲线；</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配置专用支架，可以吸附到车体进行测试；</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手持式；.一次充电可连续工作≥20小时</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制动性能参数</w:t>
                  </w:r>
                </w:p>
                <w:p>
                  <w:pPr>
                    <w:pStyle w:val="null3"/>
                    <w:jc w:val="both"/>
                  </w:pPr>
                  <w:r>
                    <w:rPr>
                      <w:rFonts w:ascii="仿宋_GB2312" w:hAnsi="仿宋_GB2312" w:cs="仿宋_GB2312" w:eastAsia="仿宋_GB2312"/>
                      <w:sz w:val="21"/>
                    </w:rPr>
                    <w:t>测量范围：</w:t>
                  </w:r>
                </w:p>
                <w:p>
                  <w:pPr>
                    <w:pStyle w:val="null3"/>
                    <w:jc w:val="both"/>
                  </w:pPr>
                  <w:r>
                    <w:rPr>
                      <w:rFonts w:ascii="仿宋_GB2312" w:hAnsi="仿宋_GB2312" w:cs="仿宋_GB2312" w:eastAsia="仿宋_GB2312"/>
                      <w:sz w:val="21"/>
                    </w:rPr>
                    <w:t>（1）加速度：0～19.62m/s</w:t>
                  </w:r>
                  <w:r>
                    <w:rPr>
                      <w:rFonts w:ascii="仿宋_GB2312" w:hAnsi="仿宋_GB2312" w:cs="仿宋_GB2312" w:eastAsia="仿宋_GB2312"/>
                      <w:sz w:val="16"/>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（2）速度：0～80km/h；</w:t>
                  </w:r>
                </w:p>
                <w:p>
                  <w:pPr>
                    <w:pStyle w:val="null3"/>
                    <w:jc w:val="both"/>
                  </w:pPr>
                  <w:r>
                    <w:rPr>
                      <w:rFonts w:ascii="仿宋_GB2312" w:hAnsi="仿宋_GB2312" w:cs="仿宋_GB2312" w:eastAsia="仿宋_GB2312"/>
                      <w:sz w:val="21"/>
                    </w:rPr>
                    <w:t>（3）距离：0～100m；</w:t>
                  </w:r>
                </w:p>
                <w:p>
                  <w:pPr>
                    <w:pStyle w:val="null3"/>
                    <w:jc w:val="both"/>
                  </w:pPr>
                  <w:r>
                    <w:rPr>
                      <w:rFonts w:ascii="仿宋_GB2312" w:hAnsi="仿宋_GB2312" w:cs="仿宋_GB2312" w:eastAsia="仿宋_GB2312"/>
                      <w:sz w:val="21"/>
                    </w:rPr>
                    <w:t>（4）制动时间：≤10s；</w:t>
                  </w:r>
                </w:p>
                <w:p>
                  <w:pPr>
                    <w:pStyle w:val="null3"/>
                    <w:jc w:val="both"/>
                  </w:pPr>
                  <w:r>
                    <w:rPr>
                      <w:rFonts w:ascii="仿宋_GB2312" w:hAnsi="仿宋_GB2312" w:cs="仿宋_GB2312" w:eastAsia="仿宋_GB2312"/>
                      <w:sz w:val="21"/>
                    </w:rPr>
                    <w:t>分辨率:</w:t>
                  </w:r>
                </w:p>
                <w:p>
                  <w:pPr>
                    <w:pStyle w:val="null3"/>
                    <w:jc w:val="both"/>
                  </w:pPr>
                  <w:r>
                    <w:rPr>
                      <w:rFonts w:ascii="仿宋_GB2312" w:hAnsi="仿宋_GB2312" w:cs="仿宋_GB2312" w:eastAsia="仿宋_GB2312"/>
                      <w:sz w:val="21"/>
                    </w:rPr>
                    <w:t>（1）加速度：≤0.001m/s</w:t>
                  </w:r>
                  <w:r>
                    <w:rPr>
                      <w:rFonts w:ascii="仿宋_GB2312" w:hAnsi="仿宋_GB2312" w:cs="仿宋_GB2312" w:eastAsia="仿宋_GB2312"/>
                      <w:sz w:val="13"/>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（2）时间：≤0.01s；</w:t>
                  </w:r>
                </w:p>
                <w:p>
                  <w:pPr>
                    <w:pStyle w:val="null3"/>
                    <w:jc w:val="both"/>
                  </w:pPr>
                  <w:r>
                    <w:rPr>
                      <w:rFonts w:ascii="仿宋_GB2312" w:hAnsi="仿宋_GB2312" w:cs="仿宋_GB2312" w:eastAsia="仿宋_GB2312"/>
                      <w:sz w:val="21"/>
                    </w:rPr>
                    <w:t>（3）速速：≤0.1km/h；</w:t>
                  </w:r>
                </w:p>
                <w:p>
                  <w:pPr>
                    <w:pStyle w:val="null3"/>
                    <w:jc w:val="both"/>
                  </w:pPr>
                  <w:r>
                    <w:rPr>
                      <w:rFonts w:ascii="仿宋_GB2312" w:hAnsi="仿宋_GB2312" w:cs="仿宋_GB2312" w:eastAsia="仿宋_GB2312"/>
                      <w:sz w:val="21"/>
                    </w:rPr>
                    <w:t>示值误差：</w:t>
                  </w:r>
                </w:p>
                <w:p>
                  <w:pPr>
                    <w:pStyle w:val="null3"/>
                    <w:numPr>
                      <w:ilvl w:val="0"/>
                      <w:numId w:val="1"/>
                    </w:numPr>
                    <w:jc w:val="both"/>
                  </w:pPr>
                  <w:r>
                    <w:rPr>
                      <w:rFonts w:ascii="仿宋_GB2312" w:hAnsi="仿宋_GB2312" w:cs="仿宋_GB2312" w:eastAsia="仿宋_GB2312"/>
                      <w:sz w:val="21"/>
                    </w:rPr>
                    <w:t>加速度测量值为（0～4.90）m/s2时，示值误差为：±0.10 m/s2；</w:t>
                  </w:r>
                </w:p>
                <w:p>
                  <w:pPr>
                    <w:pStyle w:val="null3"/>
                    <w:jc w:val="both"/>
                  </w:pPr>
                  <w:r>
                    <w:rPr>
                      <w:rFonts w:ascii="仿宋_GB2312" w:hAnsi="仿宋_GB2312" w:cs="仿宋_GB2312" w:eastAsia="仿宋_GB2312"/>
                      <w:sz w:val="21"/>
                    </w:rPr>
                    <w:t>b)</w:t>
                  </w:r>
                  <w:r>
                    <w:rPr>
                      <w:rFonts w:ascii="仿宋_GB2312" w:hAnsi="仿宋_GB2312" w:cs="仿宋_GB2312" w:eastAsia="仿宋_GB2312"/>
                      <w:sz w:val="21"/>
                    </w:rPr>
                    <w:t>加速度测量值为其他值时，示值误差为：±1.0%。</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131"/>
                  <w:vMerge/>
                  <w:tcBorders>
                    <w:top w:val="none" w:color="000000" w:sz="4"/>
                    <w:left w:val="none" w:color="000000" w:sz="4"/>
                    <w:bottom w:val="singl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方向盘转向力-转向角检测仪</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（一）功能</w:t>
                  </w:r>
                </w:p>
                <w:p>
                  <w:pPr>
                    <w:pStyle w:val="null3"/>
                    <w:jc w:val="both"/>
                  </w:pPr>
                  <w:r>
                    <w:rPr>
                      <w:rFonts w:ascii="仿宋_GB2312" w:hAnsi="仿宋_GB2312" w:cs="仿宋_GB2312" w:eastAsia="仿宋_GB2312"/>
                      <w:sz w:val="21"/>
                    </w:rPr>
                    <w:t>能够完成机动车转向系统的操纵力与转向角度，判断转向系统是否存在卡滞、阻尼异常等问题，验证转向系统性能是否符合国标要求。</w:t>
                  </w:r>
                </w:p>
                <w:p>
                  <w:pPr>
                    <w:pStyle w:val="null3"/>
                    <w:jc w:val="both"/>
                  </w:pPr>
                  <w:r>
                    <w:rPr>
                      <w:rFonts w:ascii="仿宋_GB2312" w:hAnsi="仿宋_GB2312" w:cs="仿宋_GB2312" w:eastAsia="仿宋_GB2312"/>
                      <w:sz w:val="21"/>
                    </w:rPr>
                    <w:t>（二）参数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转向力：转向操纵力100～500N；转向力矩20～100Nm，零点漂移≤2d；鉴别力阈≤1.5d</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转向角：转向角0～±540°；分度值≤1°；重复性±1°；示值误差±1°；</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汉字液晶屏显示，内嵌≥32位单片机和陀螺仪传感器，运算速度快，可存储≥80组检测结果。</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131"/>
                  <w:vMerge/>
                  <w:tcBorders>
                    <w:top w:val="none" w:color="000000" w:sz="4"/>
                    <w:left w:val="none" w:color="000000" w:sz="4"/>
                    <w:bottom w:val="singl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制动踏板力操纵力计</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（一）功能</w:t>
                  </w:r>
                </w:p>
                <w:p>
                  <w:pPr>
                    <w:pStyle w:val="null3"/>
                    <w:jc w:val="both"/>
                  </w:pPr>
                  <w:r>
                    <w:rPr>
                      <w:rFonts w:ascii="仿宋_GB2312" w:hAnsi="仿宋_GB2312" w:cs="仿宋_GB2312" w:eastAsia="仿宋_GB2312"/>
                      <w:sz w:val="21"/>
                    </w:rPr>
                    <w:t>检测机动车脚刹踏板、手刹的操纵作用力，检验制动操纵系统的机械性能，判定操纵力值是否在国标合规范围内，为制动系统调试、故障诊断提供数据支撑。</w:t>
                  </w:r>
                </w:p>
                <w:p>
                  <w:pPr>
                    <w:pStyle w:val="null3"/>
                    <w:jc w:val="both"/>
                  </w:pPr>
                  <w:r>
                    <w:rPr>
                      <w:rFonts w:ascii="仿宋_GB2312" w:hAnsi="仿宋_GB2312" w:cs="仿宋_GB2312" w:eastAsia="仿宋_GB2312"/>
                      <w:sz w:val="21"/>
                    </w:rPr>
                    <w:t>（二）参数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测量范围：0～1000N；</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分辨率：≤0.1N；</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示值误差（精度）：±1%；</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重复性：≤2%</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可检测脚刹力和手刹力；≤2小时快速充电，一次充电连续工作≥30小时。</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汉字液晶屏显示，可存储≥80组检测结果。</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131"/>
                  <w:vMerge/>
                  <w:tcBorders>
                    <w:top w:val="none" w:color="000000" w:sz="4"/>
                    <w:left w:val="none" w:color="000000" w:sz="4"/>
                    <w:bottom w:val="singl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涂层测厚仪</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范围：0-1250um；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分辨率：≤0.1um(0-500um]；≤1um（500-1500um）；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精度：±（1.8%um±2um）（0-500um]；±（3.2%um±2um）（500-1500um）；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测量重复性：±1um （0-500]um；±2um （5≤00-1500）um；</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显示：LCD背光数字显示，分度值≤0.1μm，自动区分铁铝基材；</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存储：支持多车身分组存储，最大存储2000组数据，蓝牙/USB导出报表，断电数据不丢失；</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供电：内置充电锂电池，Type‑C充电，附带低电量屏幕。</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一次充电连续工作≥30小时。</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w:t>
                  </w:r>
                </w:p>
              </w:tc>
              <w:tc>
                <w:tcPr>
                  <w:tcW w:type="dxa" w:w="131"/>
                  <w:vMerge/>
                  <w:tcBorders>
                    <w:top w:val="none" w:color="000000" w:sz="4"/>
                    <w:left w:val="none" w:color="000000" w:sz="4"/>
                    <w:bottom w:val="singl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驻车制动性能测试仪</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量程：0-100kN</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最大允许误差：±2%；</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仪器的分辨率：≤0.01N；</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储液容量：≥5L；</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具备声光提示功能，欠电灯灯光提示，≤2小时快速充电；</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显示：LCD背光中文液晶显示屏，显示参数，驻车最大制动力（单位kN/N）、制动力保持值、合格判定标识、测试序号、车辆编号、年月日时间；</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存储：80组完整检测数据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充电方式：1500mAh大容量3.7V/8.4V锂电，Type‑C直流快充接口，2小时满充，单次满电可连续工作30小时以上。</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7</w:t>
                  </w:r>
                </w:p>
              </w:tc>
              <w:tc>
                <w:tcPr>
                  <w:tcW w:type="dxa" w:w="131"/>
                  <w:vMerge/>
                  <w:tcBorders>
                    <w:top w:val="none" w:color="000000" w:sz="4"/>
                    <w:left w:val="none" w:color="000000" w:sz="4"/>
                    <w:bottom w:val="singl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汽车侧滑检验台</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额定轴载质量：≥10T；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滑板长度×宽度：≥480×400（mm）；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测量范围：±10m/km；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示值误差：±0.2m/km；</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零位误差：±0.2m/km；</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台架外形尺寸（长×宽×高）：≥1500×600×80（mm）；</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单轮测试，汉字液晶屏显示，配置高精度位移传感器，可存储≥80组检测结果。</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8</w:t>
                  </w:r>
                </w:p>
              </w:tc>
              <w:tc>
                <w:tcPr>
                  <w:tcW w:type="dxa" w:w="131"/>
                  <w:vMerge/>
                  <w:tcBorders>
                    <w:top w:val="none" w:color="000000" w:sz="4"/>
                    <w:left w:val="none" w:color="000000" w:sz="4"/>
                    <w:bottom w:val="single" w:color="000000" w:sz="4"/>
                    <w:right w:val="single" w:color="000000" w:sz="4"/>
                  </w:tcBorders>
                </w:tc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逆反射系数测量仪</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（一）功能</w:t>
                  </w:r>
                </w:p>
                <w:p>
                  <w:pPr>
                    <w:pStyle w:val="null3"/>
                    <w:jc w:val="both"/>
                  </w:pPr>
                  <w:r>
                    <w:rPr>
                      <w:rFonts w:ascii="仿宋_GB2312" w:hAnsi="仿宋_GB2312" w:cs="仿宋_GB2312" w:eastAsia="仿宋_GB2312"/>
                      <w:sz w:val="21"/>
                    </w:rPr>
                    <w:t>测量机动车车身反光标识、机动车号牌、车身附属反光部件的逆反射性能。</w:t>
                  </w:r>
                </w:p>
                <w:p>
                  <w:pPr>
                    <w:pStyle w:val="null3"/>
                    <w:jc w:val="both"/>
                  </w:pPr>
                  <w:r>
                    <w:rPr>
                      <w:rFonts w:ascii="仿宋_GB2312" w:hAnsi="仿宋_GB2312" w:cs="仿宋_GB2312" w:eastAsia="仿宋_GB2312"/>
                      <w:sz w:val="21"/>
                    </w:rPr>
                    <w:t>（二）参数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观测角（α）：≥0.2°；</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入射角（β）：≥4°；</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光源：暖白色发光二极管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显示器：触摸屏；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逆反射系数测量≥范围：0～2000cd·lux</w:t>
                  </w:r>
                  <w:r>
                    <w:rPr>
                      <w:rFonts w:ascii="仿宋_GB2312" w:hAnsi="仿宋_GB2312" w:cs="仿宋_GB2312" w:eastAsia="仿宋_GB2312"/>
                      <w:sz w:val="21"/>
                      <w:vertAlign w:val="superscript"/>
                    </w:rPr>
                    <w:t>-1</w:t>
                  </w:r>
                  <w:r>
                    <w:rPr>
                      <w:rFonts w:ascii="仿宋_GB2312" w:hAnsi="仿宋_GB2312" w:cs="仿宋_GB2312" w:eastAsia="仿宋_GB2312"/>
                      <w:sz w:val="21"/>
                    </w:rPr>
                    <w:t>·m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测量精度：±2％；</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分辨率：≤1 cd·lux</w:t>
                  </w:r>
                  <w:r>
                    <w:rPr>
                      <w:rFonts w:ascii="仿宋_GB2312" w:hAnsi="仿宋_GB2312" w:cs="仿宋_GB2312" w:eastAsia="仿宋_GB2312"/>
                      <w:sz w:val="21"/>
                      <w:vertAlign w:val="superscript"/>
                    </w:rPr>
                    <w:t>-1</w:t>
                  </w:r>
                  <w:r>
                    <w:rPr>
                      <w:rFonts w:ascii="仿宋_GB2312" w:hAnsi="仿宋_GB2312" w:cs="仿宋_GB2312" w:eastAsia="仿宋_GB2312"/>
                      <w:sz w:val="21"/>
                    </w:rPr>
                    <w:t>·m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显示：触控LCD屏，具有牌号录入、检测、标定、查询、设置功能，显示检测参数信息。</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存储：存储</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组测点数据.</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w:t>
                  </w:r>
                </w:p>
              </w:tc>
              <w:tc>
                <w:tcPr>
                  <w:tcW w:type="dxa" w:w="3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机动车鉴定评估平台</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（一）功能</w:t>
                  </w:r>
                </w:p>
                <w:p>
                  <w:pPr>
                    <w:pStyle w:val="null3"/>
                    <w:ind w:firstLine="420"/>
                    <w:jc w:val="both"/>
                  </w:pPr>
                  <w:r>
                    <w:rPr>
                      <w:rFonts w:ascii="仿宋_GB2312" w:hAnsi="仿宋_GB2312" w:cs="仿宋_GB2312" w:eastAsia="仿宋_GB2312"/>
                      <w:sz w:val="21"/>
                    </w:rPr>
                    <w:t>能够实现实物沙盘桌（含展示区、储物区、物料区）与智能Pad无线联通，构建真实事故现场。能够进行三维引擎构建城市全景仿真环境，实现第一人称漫游、车辆交互、拍照取证与数据查看，涵盖单方/双方事故等典型场景。实现“车辆检查—委托受理—信息录入—事故判定—技术鉴定—价值评估”全流程，自动生成委托书、作业表、技术状况表、评估报告等标准单据。内置国标≥110项和企业团标≥150项（含新能源车），双标准体系，支持自由切换。离线存储≥100品牌、≥5000种车型信息，支持VIN码一键查询与10+维度筛选。Pad端实现拍照引导、信息录入与物联互动。配套实训指导书、工单与案例手册（≥5类事故案例），并配备过程评价体系。</w:t>
                  </w:r>
                </w:p>
                <w:p>
                  <w:pPr>
                    <w:pStyle w:val="null3"/>
                    <w:jc w:val="both"/>
                  </w:pPr>
                  <w:r>
                    <w:rPr>
                      <w:rFonts w:ascii="仿宋_GB2312" w:hAnsi="仿宋_GB2312" w:cs="仿宋_GB2312" w:eastAsia="仿宋_GB2312"/>
                      <w:sz w:val="21"/>
                    </w:rPr>
                    <w:t>（二）参数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沙盘桌尺寸≥120*80*120cm，材质：铁质；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汽车事故查勘与定损实物沙盘桌要求包含盘面展示区、盘面储物区、物料区等；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物料识别卡：包含交通工具及辅助类、路障及货物类等≥3类、数量≥50个的实物物料，材质：塑料；</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场景物料：包含≥3种交通工具及辅助类、路障及货物类等物料；</w:t>
                  </w:r>
                </w:p>
                <w:p>
                  <w:pPr>
                    <w:pStyle w:val="null3"/>
                    <w:jc w:val="both"/>
                  </w:pPr>
                  <w:r>
                    <w:rPr>
                      <w:rFonts w:ascii="仿宋_GB2312" w:hAnsi="仿宋_GB2312" w:cs="仿宋_GB2312" w:eastAsia="仿宋_GB2312"/>
                      <w:sz w:val="21"/>
                    </w:rPr>
                    <w:t>（1）微缩反光路锥：材质：高强度ABS工程塑料尺寸：高≥30mm，底座直径≥25mm，存取方式：手动；</w:t>
                  </w:r>
                </w:p>
                <w:p>
                  <w:pPr>
                    <w:pStyle w:val="null3"/>
                    <w:jc w:val="both"/>
                  </w:pPr>
                  <w:r>
                    <w:rPr>
                      <w:rFonts w:ascii="仿宋_GB2312" w:hAnsi="仿宋_GB2312" w:cs="仿宋_GB2312" w:eastAsia="仿宋_GB2312"/>
                      <w:sz w:val="21"/>
                    </w:rPr>
                    <w:t>（2）防护护栏/隔离墩：总长≥50mm，杆径≥2mm，底6座≥mm；</w:t>
                  </w:r>
                </w:p>
                <w:p>
                  <w:pPr>
                    <w:pStyle w:val="null3"/>
                    <w:jc w:val="both"/>
                  </w:pPr>
                  <w:r>
                    <w:rPr>
                      <w:rFonts w:ascii="仿宋_GB2312" w:hAnsi="仿宋_GB2312" w:cs="仿宋_GB2312" w:eastAsia="仿宋_GB2312"/>
                      <w:sz w:val="21"/>
                    </w:rPr>
                    <w:t>（3）连续障碍圆饼：直径≥35mm，厚≥5mm。</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事故车辆查勘与定损demo，含有单方、双方事故案例，需含有仿真车辆模型再现交通事故发生过程，模拟不同场景发生的不同交通事故2≥种；采用三维引擎技术平台开发，展现城市三维全景，以鸟瞰视角漫游。在以三维全景表现形式的事故案例场景中，通过搭建事故现场仿真环境，包括：城市建筑、事故车辆、周边街道、事故现场。在场景环境中，可以第一人称进行场景漫游，并对事故车辆进行交互操作，进行事故拍照，查看图片，查看表格；</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系统能够检查可交易车辆、接受委托、记录车辆基本信息，具有判断事故、泡水、火烧车、鉴定车况、评估车辆价值等功能；</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系统可根据业务操作结果，自动生成并提供必要单据；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系统能够生成的单据至少包括机动车鉴定评估委托书、机动车鉴定评估作业表、机动车技术状况表、机动车鉴定评估报告等；</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鉴定评估依据：包含国标鉴定内容及企业团标鉴定内容，可在建立实训时自由选择采用的标准。国标鉴定内容共计涵盖≥110项检测点；</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利用企业团标鉴定内容涵盖传统燃油车和新能源汽车的鉴定内容，在新建鉴定评估车辆时进行选择。企业团标鉴定内容共计涵盖≥150项的检测点；</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汽车专业云数据管理平台：≥5000种车型信息；</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移动端Pad应具有拍照、信息录入、查询、物联设备互动以及工作引导等功能</w:t>
                  </w:r>
                </w:p>
                <w:p>
                  <w:pPr>
                    <w:pStyle w:val="null3"/>
                    <w:jc w:val="both"/>
                  </w:pPr>
                  <w:r>
                    <w:rPr>
                      <w:rFonts w:ascii="仿宋_GB2312" w:hAnsi="仿宋_GB2312" w:cs="仿宋_GB2312" w:eastAsia="仿宋_GB2312"/>
                      <w:sz w:val="21"/>
                    </w:rPr>
                    <w:t>，将相关信息导入系统中；</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系统提供车辆VIN码检索功能，只需进行一码查询，便可获得对应车辆及信息；</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系统≥10类的筛选条件，包含品牌、车系、变速箱、里程、排量、排放标准、燃料类型、颜色、座位等；</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练习管理功能：具备新建练习、查看修改练习、删除练习、开始/结束练习、统计成绩、查看成绩的功能，新建练习可拉取云数据管理平台上同一单位下的全部账号；</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教学资料：包含实训指导书、实训工单和案例手册等资料。涉及常见交通事故责任认定、常见交通事故现场查勘拍照、常见交通事故现场查勘绘制现场图等≥5个实训任务。适配多课程实操，实现理论讲解、实车操作、检测数据分析的有机融合。</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实训指导书及实训工单要求必须依据职业教育六步法编制。接受工作任务:包含工作任务、场景搭建及场景搭建完成效果图。信息收集包含参考答案。制定计划包含工作计划和小组成员任务分工。并要求具备教学实训组织过程评价体系，提供活动方案评价及评价反馈内容。实训指导书可作为教师实训教学的指导文件；</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实训工单要求包含接受工作任务、信息收集、制定计划等六步，可作为学生完成实训任务的引导文件；</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案例手册要求包含车撞人、机动车与电动车相撞、单方事故、双方事故等至少6类案例。案例要求包含情境描述、场景搭建、场景搭建完成效果图等至少四部分。</w:t>
                  </w:r>
                </w:p>
                <w:p>
                  <w:pPr>
                    <w:pStyle w:val="null3"/>
                    <w:jc w:val="both"/>
                  </w:pPr>
                  <w:r>
                    <w:rPr>
                      <w:rFonts w:ascii="仿宋_GB2312" w:hAnsi="仿宋_GB2312" w:cs="仿宋_GB2312" w:eastAsia="仿宋_GB2312"/>
                      <w:sz w:val="21"/>
                    </w:rPr>
                    <w:t>（三）配套要求</w:t>
                  </w:r>
                </w:p>
                <w:p>
                  <w:pPr>
                    <w:pStyle w:val="null3"/>
                    <w:jc w:val="both"/>
                  </w:pPr>
                  <w:r>
                    <w:rPr>
                      <w:rFonts w:ascii="仿宋_GB2312" w:hAnsi="仿宋_GB2312" w:cs="仿宋_GB2312" w:eastAsia="仿宋_GB2312"/>
                      <w:sz w:val="21"/>
                    </w:rPr>
                    <w:t>电力线路</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配备必要且充足的线路、空开、供电接口、安全装置等。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布线要求：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布线需完全适配设备的用电需求；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若原场地配电箱无法满足供电负荷，需新增独立配电箱并重新牵线，并按规范配置空气开关等安全装置；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所有布线及配电箱相关材质需符合安全标准，具备防火、阻燃等安全性能。</w:t>
                  </w:r>
                </w:p>
                <w:p>
                  <w:pPr>
                    <w:pStyle w:val="null3"/>
                    <w:jc w:val="both"/>
                  </w:pPr>
                  <w:r>
                    <w:rPr>
                      <w:rFonts w:ascii="仿宋_GB2312" w:hAnsi="仿宋_GB2312" w:cs="仿宋_GB2312" w:eastAsia="仿宋_GB2312"/>
                      <w:sz w:val="21"/>
                    </w:rPr>
                    <w:t>空间环境</w:t>
                  </w:r>
                </w:p>
                <w:p>
                  <w:pPr>
                    <w:pStyle w:val="null3"/>
                    <w:jc w:val="both"/>
                  </w:pPr>
                  <w:r>
                    <w:rPr>
                      <w:rFonts w:ascii="仿宋_GB2312" w:hAnsi="仿宋_GB2312" w:cs="仿宋_GB2312" w:eastAsia="仿宋_GB2312"/>
                      <w:sz w:val="21"/>
                    </w:rPr>
                    <w:t>对设备安装运行场地进行必要的墙面修缮、地面铺设、窗户及窗台修缮、屋顶改造等，投标前需进行现场踏勘，投标响应时需提供现场实际配备布局详细平面图和俯视三维效果图。</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墙面要求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材质：采用环保型内墙漆；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施工要求：涂刷均匀，无流挂、漏刷、色差等现象；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顶面要求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顶面需根据设备安装运行实际要求处理；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照明、排风等设备与吊顶协调统一，安装平整；</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地面要求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基层地面打磨处理，去除油污、浮尘；</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表面光滑，无气泡、裂缝、色差等缺陷；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针对场地原有破损的需进行修复；</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踢脚线高度不低于 80mm，具备防潮、防磕碰、易清洁性能。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温度环境要求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噪声：≤50dB(A)</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循环风量：≥3000m³/h</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制冷量：≥200000W</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制热量：≥25000W</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电压 / 频率：380V/50Hz</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能效等级：一级能效</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照明要求</w:t>
                  </w:r>
                </w:p>
                <w:p>
                  <w:pPr>
                    <w:pStyle w:val="null3"/>
                    <w:jc w:val="both"/>
                  </w:pPr>
                  <w:r>
                    <w:rPr>
                      <w:rFonts w:ascii="仿宋_GB2312" w:hAnsi="仿宋_GB2312" w:cs="仿宋_GB2312" w:eastAsia="仿宋_GB2312"/>
                      <w:sz w:val="21"/>
                    </w:rPr>
                    <w:t>（1）照度：≥300 lux</w:t>
                  </w:r>
                </w:p>
                <w:p>
                  <w:pPr>
                    <w:pStyle w:val="null3"/>
                    <w:jc w:val="both"/>
                  </w:pPr>
                  <w:r>
                    <w:rPr>
                      <w:rFonts w:ascii="仿宋_GB2312" w:hAnsi="仿宋_GB2312" w:cs="仿宋_GB2312" w:eastAsia="仿宋_GB2312"/>
                      <w:sz w:val="21"/>
                    </w:rPr>
                    <w:t>（2）眩光：UGR≤16</w:t>
                  </w:r>
                </w:p>
                <w:p>
                  <w:pPr>
                    <w:pStyle w:val="null3"/>
                    <w:jc w:val="both"/>
                  </w:pPr>
                  <w:r>
                    <w:rPr>
                      <w:rFonts w:ascii="仿宋_GB2312" w:hAnsi="仿宋_GB2312" w:cs="仿宋_GB2312" w:eastAsia="仿宋_GB2312"/>
                      <w:sz w:val="21"/>
                    </w:rPr>
                    <w:t>（3）显色指数：Ra≥80</w:t>
                  </w:r>
                </w:p>
                <w:p>
                  <w:pPr>
                    <w:pStyle w:val="null3"/>
                    <w:jc w:val="both"/>
                  </w:pPr>
                  <w:r>
                    <w:rPr>
                      <w:rFonts w:ascii="仿宋_GB2312" w:hAnsi="仿宋_GB2312" w:cs="仿宋_GB2312" w:eastAsia="仿宋_GB2312"/>
                      <w:sz w:val="21"/>
                    </w:rPr>
                    <w:t>（4）色温：3300～5300K</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作业区要求</w:t>
                  </w:r>
                </w:p>
                <w:p>
                  <w:pPr>
                    <w:pStyle w:val="null3"/>
                    <w:jc w:val="both"/>
                  </w:pPr>
                  <w:r>
                    <w:rPr>
                      <w:rFonts w:ascii="仿宋_GB2312" w:hAnsi="仿宋_GB2312" w:cs="仿宋_GB2312" w:eastAsia="仿宋_GB2312"/>
                      <w:sz w:val="21"/>
                    </w:rPr>
                    <w:t>满≥50人的作业工位，具体要求如下：</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尺寸：对角直径≥1m，高度≥0.75m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面板：厚度≥2.5cm，防刮、防潮、防污；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脚架：防生锈、防腐蚀、耐磨耐用，颜色均匀，不易掉漆；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配件：桌子底部配不锈钢螺丝配件、安装筒，承重性和稳固性良好；</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w:t>
                  </w:r>
                </w:p>
              </w:tc>
              <w:tc>
                <w:tcPr>
                  <w:tcW w:type="dxa" w:w="3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机动车司法鉴定平台</w:t>
                  </w:r>
                </w:p>
                <w:p>
                  <w:pPr>
                    <w:pStyle w:val="null3"/>
                    <w:jc w:val="center"/>
                  </w:pPr>
                  <w:r>
                    <w:rPr>
                      <w:rFonts w:ascii="仿宋_GB2312" w:hAnsi="仿宋_GB2312" w:cs="仿宋_GB2312" w:eastAsia="仿宋_GB2312"/>
                      <w:sz w:val="21"/>
                      <w:b/>
                    </w:rPr>
                    <w:t>【核心产品】</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（一）功能</w:t>
                  </w:r>
                </w:p>
                <w:p>
                  <w:pPr>
                    <w:pStyle w:val="null3"/>
                    <w:jc w:val="both"/>
                  </w:pPr>
                  <w:r>
                    <w:rPr>
                      <w:rFonts w:ascii="仿宋_GB2312" w:hAnsi="仿宋_GB2312" w:cs="仿宋_GB2312" w:eastAsia="仿宋_GB2312"/>
                      <w:sz w:val="21"/>
                    </w:rPr>
                    <w:t>内置仿真引擎，可模拟整车ECU通信、EDR事件与总线拓扑，支持自定义数据注入与实时监测。内置AI大模型，实现小智问答、事故动力学重建与取证报告智能解读，可视化呈现碰撞轨迹、气囊触发与安全带状态。配套NAS存储、取证管理与标准报告生成（委托书、评估报告等），支持教学案例库与六步法实训流程，覆盖汽车电子数据取证的教学、实训与对外服务需求。具备检测实验项目布置、结果数据分析解析，包含当前最新的车辆安全性能标准、指标体系资源，支持</w:t>
                  </w:r>
                  <w:r>
                    <w:rPr>
                      <w:rFonts w:ascii="仿宋_GB2312" w:hAnsi="仿宋_GB2312" w:cs="仿宋_GB2312" w:eastAsia="仿宋_GB2312"/>
                      <w:sz w:val="21"/>
                    </w:rPr>
                    <w:t>≥5000种</w:t>
                  </w:r>
                  <w:r>
                    <w:rPr>
                      <w:rFonts w:ascii="仿宋_GB2312" w:hAnsi="仿宋_GB2312" w:cs="仿宋_GB2312" w:eastAsia="仿宋_GB2312"/>
                      <w:sz w:val="21"/>
                    </w:rPr>
                    <w:t>车型的检测参数；同时适配多课程实操，实现理论讲解、实车操作、检测数据分析的有机融合。</w:t>
                  </w:r>
                </w:p>
                <w:p>
                  <w:pPr>
                    <w:pStyle w:val="null3"/>
                    <w:jc w:val="both"/>
                  </w:pPr>
                  <w:r>
                    <w:rPr>
                      <w:rFonts w:ascii="仿宋_GB2312" w:hAnsi="仿宋_GB2312" w:cs="仿宋_GB2312" w:eastAsia="仿宋_GB2312"/>
                      <w:sz w:val="21"/>
                    </w:rPr>
                    <w:t>（二）参数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实训台需采用工业级机箱机柜，具备良好的电磁兼容性和散热性能，能够确保在复杂的教学环境中稳定运行；尺寸：1.8m*0.8m*1.2m；物理按键 ：配备物理按键：电源开关、紧急停止、模式切换等。按键采用防误触设计。  </w:t>
                  </w:r>
                </w:p>
                <w:p>
                  <w:pPr>
                    <w:pStyle w:val="null3"/>
                    <w:jc w:val="both"/>
                  </w:pPr>
                  <w:r>
                    <w:rPr>
                      <w:rFonts w:ascii="仿宋_GB2312" w:hAnsi="仿宋_GB2312" w:cs="仿宋_GB2312" w:eastAsia="仿宋_GB2312"/>
                      <w:sz w:val="21"/>
                    </w:rPr>
                    <w:t>▲2.教学取证物证：工作教学面板需包含EDR、行驶记录仪、工具箱、行驶记录仪、娱乐导航系统等物证模块，常见汽车通信接口OBD，CAN、K等。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汽车总线：需全面兼容多种主流汽车总线标准，包括控制器局域网、K 线、高速控制器局域网）、FlexRay 以及基于 IP 的诊断协议。CAN总线：需支持CAN 2.0A/B，通信速率最高1Mbps，支持标准帧/扩展帧格式。CanFD：与传统 CAN 兼容。K总线：支持标准 K 线和快速 K 线以及改进型 K 线，速率≥ 10.4Kbaud。</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 xml:space="preserve">显示屏：配备两个≥ 27寸高清液晶显示器，分辨率≥ 3840×2160，可清晰展示汽车取证相关的图像、视频、数据等信息。具备高亮度和高对比度，即使在明亮的教室环境中，也能保证良好的显示效果。支持多种视频输入接口： HDMI、VGA、DVI 等。可旋转和调整角度，以适应不同的观看位置和教学需求。     </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主电源：采用稳定的开关电源，具备过压、过流、短路等保护功能，能够为整个实训台的硬件设备提供可靠的电力支持；计算机主机 ：配置一台计算机主机处理器：≥6核12线程，频率≥3.0GHz，内存：≥32GB DDR4，硬盘：≥1TB等，作为整个实训台的核心控制单元，完成各种教学任务和数据处理工作；AI主机配置：CPU：E5 * 1，主板：双CPU、6GPU卡槽、≥4个内存卡槽、最大支持≥512G内存；电源：≥1000W；GPU：20G * 2；内存：≥32G * 2；硬盘：≥1T m2固态。</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汽车取证功能</w:t>
                  </w:r>
                </w:p>
                <w:p>
                  <w:pPr>
                    <w:pStyle w:val="null3"/>
                    <w:jc w:val="both"/>
                  </w:pPr>
                  <w:r>
                    <w:rPr>
                      <w:rFonts w:ascii="仿宋_GB2312" w:hAnsi="仿宋_GB2312" w:cs="仿宋_GB2312" w:eastAsia="仿宋_GB2312"/>
                      <w:sz w:val="21"/>
                    </w:rPr>
                    <w:t>▲1）行车记录仪视频采集与恢复：支持所有主流品牌的行车记录仪视频数据提取，存储介质可支持SD卡、U盘等相关视频存储介质；支持对FAT32、NTFS、exFAT32等格式存储卡进行数据提取。</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EDR汽车模块数据提取：支持≥100个主流汽车品牌EDR安全气囊模块数据提取；可提取碰撞前5秒速度/加速度变化信息、加速踏板位置、刹车、方向盘转角、事故时间以及安全带状态等信息，参数包含：碰撞时间：碰撞前5秒至碰撞时0秒；速度变化量：触发阈值≥8 km/h/150ms（≥25km/h或气囊展开则锁定防覆盖）；车辆制动状态：开启/关闭；车辆行驶车速：0~250km/h；发动机转速：0-8000+ rpm（新能源车对应电机转速可达15000-20000 rpm）；安全带状态：驾驶员/乘客安全带 已系/未系；加速踏板位置：0~100%；安全气囊状态：毫秒级标志（未展开/已展开/阶段点火等）；转向盘转角：±720°（依转向系统极限）；支持EDR取证整车仿真库取证和单独模块取证；</w:t>
                  </w:r>
                </w:p>
                <w:p>
                  <w:pPr>
                    <w:pStyle w:val="null3"/>
                    <w:jc w:val="both"/>
                  </w:pPr>
                  <w:r>
                    <w:rPr>
                      <w:rFonts w:ascii="仿宋_GB2312" w:hAnsi="仿宋_GB2312" w:cs="仿宋_GB2312" w:eastAsia="仿宋_GB2312"/>
                      <w:sz w:val="21"/>
                    </w:rPr>
                    <w:t>▲3）行驶记录仪数据提取：支持对市面上≥90%的大型车辆行驶系统，可提取车辆行驶轨迹以及行驶速度、疲劳驾驶记录、转向、制动系统等操作记录；支持VDR文件不同标准数据的解析，包括但不限于2012年标准和2021年标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全车ECU数据提取：支持≥100个品牌的全车电控系统的数据提取；支持全车故障信息提取，故障信息包括故障码、冻结帧、故障状态等信息、可实现解码功能；支持套牌/拼改车辆检测，可提取全车多系统ECU存储的车架号信息，包括当前车架号、历史车架号；支持里程检测，可提取全车多系统的里程信息；支持电池数据检测，可提取电池包SOC、SOH等电池信息，电池模块可读取故障、单体电池电压、温度等信息；</w:t>
                  </w:r>
                </w:p>
                <w:p>
                  <w:pPr>
                    <w:pStyle w:val="null3"/>
                    <w:jc w:val="both"/>
                  </w:pPr>
                  <w:r>
                    <w:rPr>
                      <w:rFonts w:ascii="仿宋_GB2312" w:hAnsi="仿宋_GB2312" w:cs="仿宋_GB2312" w:eastAsia="仿宋_GB2312"/>
                      <w:sz w:val="21"/>
                    </w:rPr>
                    <w:t>▲5）T-box车载终端模块数据提取：可提取车辆行驶线索、速度、刹车、电池电压温度数据、故障信息、电流电压极值数据等记录。</w:t>
                  </w:r>
                </w:p>
                <w:p>
                  <w:pPr>
                    <w:pStyle w:val="null3"/>
                    <w:jc w:val="both"/>
                  </w:pPr>
                  <w:r>
                    <w:rPr>
                      <w:rFonts w:ascii="仿宋_GB2312" w:hAnsi="仿宋_GB2312" w:cs="仿宋_GB2312" w:eastAsia="仿宋_GB2312"/>
                      <w:sz w:val="21"/>
                    </w:rPr>
                    <w:t>▲6）IVI信息娱乐导航系统数据提取：可提取相关车身事件信息，展示相关汽车日志与数据；</w:t>
                  </w:r>
                </w:p>
                <w:p>
                  <w:pPr>
                    <w:pStyle w:val="null3"/>
                    <w:jc w:val="both"/>
                  </w:pPr>
                  <w:r>
                    <w:rPr>
                      <w:rFonts w:ascii="仿宋_GB2312" w:hAnsi="仿宋_GB2312" w:cs="仿宋_GB2312" w:eastAsia="仿宋_GB2312"/>
                      <w:sz w:val="21"/>
                      <w:b/>
                    </w:rPr>
                    <w:t>7.</w:t>
                  </w:r>
                  <w:r>
                    <w:rPr>
                      <w:rFonts w:ascii="仿宋_GB2312" w:hAnsi="仿宋_GB2312" w:cs="仿宋_GB2312" w:eastAsia="仿宋_GB2312"/>
                      <w:sz w:val="21"/>
                      <w:b/>
                    </w:rPr>
                    <w:t>汽车仿真功能（提供功能效果演示视频）</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）模拟车辆总线的通信行为和数据传输，可自定义总线数据的发送频率、内容等。支持不限于 ISO 15765、ISO 14230、ISO 27145等总线协议的仿真。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整车ECU数据仿真功能：具备≥50个品牌车型的整车ECU数据仿真库，用于教学实训；支持全车故障数据的模拟仿真；支持套牌/拼改车辆数据的模拟仿真；支持多系统里程数据的模拟仿真；支持电池数据的模拟仿真；支持年检预检功能的模拟仿真；支持汽车总线网络拓扑图展示，各个节点ECU数据仿真内容查看；实时总线数据监测展示，可支持定向查看某一ECU和总线节点数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EDR数据仿真功能：具备≥30个品牌车型的EDR数据仿真数据库，支持燃油汽车、新能源汽车等不同品牌车型，用于教学实训；支持不同品牌的EDR数据的解读标准查阅；支持EDR模块的介绍及通信过程中实时总线数据监测展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）仿真文件管理：支持燃油汽车和新能源汽车等不同品牌车型数据仿真文件管理和导入。</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取证管理功能</w:t>
                  </w:r>
                </w:p>
                <w:p>
                  <w:pPr>
                    <w:pStyle w:val="null3"/>
                    <w:jc w:val="both"/>
                  </w:pPr>
                  <w:r>
                    <w:rPr>
                      <w:rFonts w:ascii="仿宋_GB2312" w:hAnsi="仿宋_GB2312" w:cs="仿宋_GB2312" w:eastAsia="仿宋_GB2312"/>
                      <w:sz w:val="21"/>
                    </w:rPr>
                    <w:t>数据存储与管理功能涵盖了存储、索引分类及备份三方面。对采集到的原始电子数据进行安全可靠的存储，确保数据不被篡改、丢失。建立数据索引和分类体系，可快速检索和管理不同类型、不同来源、不同时间的汽车电子数据。具备一定的数据备份机制。</w:t>
                  </w:r>
                </w:p>
                <w:p>
                  <w:pPr>
                    <w:pStyle w:val="null3"/>
                    <w:jc w:val="both"/>
                  </w:pPr>
                  <w:r>
                    <w:rPr>
                      <w:rFonts w:ascii="仿宋_GB2312" w:hAnsi="仿宋_GB2312" w:cs="仿宋_GB2312" w:eastAsia="仿宋_GB2312"/>
                      <w:sz w:val="21"/>
                      <w:b/>
                    </w:rPr>
                    <w:t>9.</w:t>
                  </w:r>
                  <w:r>
                    <w:rPr>
                      <w:rFonts w:ascii="仿宋_GB2312" w:hAnsi="仿宋_GB2312" w:cs="仿宋_GB2312" w:eastAsia="仿宋_GB2312"/>
                      <w:sz w:val="21"/>
                      <w:b/>
                    </w:rPr>
                    <w:t>数据分析功能（提供功能效果演示视频）</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）数据分析功能：从基础的车辆常规参数及系统状态随时间变化的统计分析，到针对特定事件进行关键数据提取及多系统数据关联分析，再利用数据挖掘算法探索潜在规律，最后结合 数据分析技术实现关键数据标记和事故动态轨迹图。</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）VDR轨迹数据分析：支持对大车行驶记录仪VDR报告轨迹数据的分析，支持单点轨迹查勘，支持时间过滤分析，支持特殊行为设定分析等，过滤分析关键信息内容。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）故障冻结帧与EDR事故时间分析：对车辆故障冻结的里程、时间、EDR事故时间、事故里程、点火周期等常规参数进行统计分析。以时间或里程为基准分析发生的先后序列。</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EDR可视化分析：针对特定EDR事件(如事故、系统故障等)，提取事件发生前后关键数据的变化情况。分析多个系统之间数据在事件中的关联性，可视化展示事故碰撞位置、气囊弹开情况。按事件的发生先后和关联关系，按时间轴可视化展示每个事故的碰撞形态，气囊弹开情况，人员安全带状态等。</w:t>
                  </w:r>
                </w:p>
                <w:p>
                  <w:pPr>
                    <w:pStyle w:val="null3"/>
                    <w:jc w:val="both"/>
                  </w:pPr>
                  <w:r>
                    <w:rPr>
                      <w:rFonts w:ascii="仿宋_GB2312" w:hAnsi="仿宋_GB2312" w:cs="仿宋_GB2312" w:eastAsia="仿宋_GB2312"/>
                      <w:sz w:val="21"/>
                      <w:b/>
                    </w:rPr>
                    <w:t>10.</w:t>
                  </w:r>
                  <w:r>
                    <w:rPr>
                      <w:rFonts w:ascii="仿宋_GB2312" w:hAnsi="仿宋_GB2312" w:cs="仿宋_GB2312" w:eastAsia="仿宋_GB2312"/>
                      <w:sz w:val="21"/>
                      <w:b/>
                    </w:rPr>
                    <w:t>汽车取证AI大模型数据分析功能（提供功能效果演示视频）</w:t>
                  </w:r>
                </w:p>
                <w:p>
                  <w:pPr>
                    <w:pStyle w:val="null3"/>
                    <w:jc w:val="both"/>
                  </w:pPr>
                  <w:r>
                    <w:rPr>
                      <w:rFonts w:ascii="仿宋_GB2312" w:hAnsi="仿宋_GB2312" w:cs="仿宋_GB2312" w:eastAsia="仿宋_GB2312"/>
                      <w:sz w:val="21"/>
                    </w:rPr>
                    <w:t>具备本地化部署的AI模型，支持汽车电子数据报告分析；大模型及本地知识库，具备AI助手、AI事故仿真功能；内置EDR模块数据说明功能，自动解释汽车电子数据中的专业术语（如碰撞加速度、制动状态等），智能解读取证报告，提供研判分析结论；内置行业知识库、操作引导、支持率查询等日常操作；AI事故仿真：AI结合EDR（Event Data Recorder）模块记录的碰撞前后关键数据（如碰撞前5秒的加速度、制动状态、方向盘转角等），通过动力学模型重建事故过程，动态模拟车辆运动轨迹和驾驶员操作。</w:t>
                  </w:r>
                </w:p>
                <w:p>
                  <w:pPr>
                    <w:pStyle w:val="null3"/>
                    <w:jc w:val="both"/>
                  </w:pPr>
                  <w:r>
                    <w:rPr>
                      <w:rFonts w:ascii="仿宋_GB2312" w:hAnsi="仿宋_GB2312" w:cs="仿宋_GB2312" w:eastAsia="仿宋_GB2312"/>
                      <w:sz w:val="21"/>
                      <w:b/>
                    </w:rPr>
                    <w:t>11.</w:t>
                  </w:r>
                  <w:r>
                    <w:rPr>
                      <w:rFonts w:ascii="仿宋_GB2312" w:hAnsi="仿宋_GB2312" w:cs="仿宋_GB2312" w:eastAsia="仿宋_GB2312"/>
                      <w:sz w:val="21"/>
                      <w:b/>
                    </w:rPr>
                    <w:t>教学场景（提供功能效果演示视频）</w:t>
                  </w:r>
                </w:p>
                <w:p>
                  <w:pPr>
                    <w:pStyle w:val="null3"/>
                    <w:jc w:val="both"/>
                  </w:pPr>
                  <w:r>
                    <w:rPr>
                      <w:rFonts w:ascii="仿宋_GB2312" w:hAnsi="仿宋_GB2312" w:cs="仿宋_GB2312" w:eastAsia="仿宋_GB2312"/>
                      <w:sz w:val="21"/>
                    </w:rPr>
                    <w:t>满足课堂投屏演示、课堂指导教学场景；支持事故气囊模块检测出具检测报告，支持汽车事故气囊相关社会案件取证服务能力；</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11</w:t>
                  </w:r>
                </w:p>
              </w:tc>
              <w:tc>
                <w:tcPr>
                  <w:tcW w:type="dxa" w:w="3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新能源汽车整车测试台</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（一）功能</w:t>
                  </w:r>
                </w:p>
                <w:p>
                  <w:pPr>
                    <w:pStyle w:val="null3"/>
                    <w:jc w:val="both"/>
                  </w:pPr>
                  <w:r>
                    <w:rPr>
                      <w:rFonts w:ascii="仿宋_GB2312" w:hAnsi="仿宋_GB2312" w:cs="仿宋_GB2312" w:eastAsia="仿宋_GB2312"/>
                      <w:sz w:val="21"/>
                    </w:rPr>
                    <w:t>专用于两驱车辆（含混动及EV）的动力性能测试与诊断。可执行全转速范围马力/扭矩曲线测绘、道路载荷模拟（最高260km/h），并支持恒速控制以配合空燃比、爆震等传感器进行ECU调校分析。具备双向测试能力，可完成加速、滑行、爬坡、油耗/电耗等多类试验。测试过程支持手动/自动加载，结果可生成定制化报告及曲线图表，数据可导出为Word、Excel格式便于保存与分析。</w:t>
                  </w:r>
                </w:p>
                <w:p>
                  <w:pPr>
                    <w:pStyle w:val="null3"/>
                    <w:jc w:val="both"/>
                  </w:pPr>
                  <w:r>
                    <w:rPr>
                      <w:rFonts w:ascii="仿宋_GB2312" w:hAnsi="仿宋_GB2312" w:cs="仿宋_GB2312" w:eastAsia="仿宋_GB2312"/>
                      <w:sz w:val="21"/>
                    </w:rPr>
                    <w:t>（二）参数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额定承载质量：≥10000kg；</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最大测试总质量：≥3500kg；</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可测试马力：≥1000hp；</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最大牵引力：≥25kN；</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滚筒直径×长度：≥φ200×800mm；</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滚筒内距×外距：≥700×2400mm；</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滚筒中心距离：≥400mm；</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最大测试速度：≥250km/h；</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车速示值误差：±1%；</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扭矩示值误差：±2%；</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功率示值误差：±2%；</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设备重量：≤2000kg；</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气源：≥0.8MPa；</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电源电压：AC220V，50Hz；</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风机电压：AC380V，50Hz；</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工作环境温度：0-40℃；</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功率吸收装置：风冷式电涡流机；</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额定吸收扭力：≥3200N·m；</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主控计算机：电源≥300w，CPU≥4核4线程，主频≥3.2GHz，最大睿频≥3.6GHz；缓存≥6MB；内存：≥4G；容量≥8GB DDR3；固态硬盘容量≥500GB；USB接口≥2*USB 2.0；RS232串口≥4；。</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显示器：液晶≥21.5英寸；</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输出终端：</w:t>
                  </w:r>
                </w:p>
                <w:p>
                  <w:pPr>
                    <w:pStyle w:val="null3"/>
                    <w:jc w:val="both"/>
                  </w:pPr>
                  <w:r>
                    <w:rPr>
                      <w:rFonts w:ascii="仿宋_GB2312" w:hAnsi="仿宋_GB2312" w:cs="仿宋_GB2312" w:eastAsia="仿宋_GB2312"/>
                      <w:sz w:val="21"/>
                    </w:rPr>
                    <w:t>（1）喷墨方式：微压电；</w:t>
                  </w:r>
                </w:p>
                <w:p>
                  <w:pPr>
                    <w:pStyle w:val="null3"/>
                    <w:jc w:val="both"/>
                  </w:pPr>
                  <w:r>
                    <w:rPr>
                      <w:rFonts w:ascii="仿宋_GB2312" w:hAnsi="仿宋_GB2312" w:cs="仿宋_GB2312" w:eastAsia="仿宋_GB2312"/>
                      <w:sz w:val="21"/>
                    </w:rPr>
                    <w:t>（2）打印分辨率：≥5760×1440dpi；</w:t>
                  </w:r>
                </w:p>
                <w:p>
                  <w:pPr>
                    <w:pStyle w:val="null3"/>
                    <w:jc w:val="both"/>
                  </w:pPr>
                  <w:r>
                    <w:rPr>
                      <w:rFonts w:ascii="仿宋_GB2312" w:hAnsi="仿宋_GB2312" w:cs="仿宋_GB2312" w:eastAsia="仿宋_GB2312"/>
                      <w:sz w:val="21"/>
                    </w:rPr>
                    <w:t>（3）打印幅面：≥A4</w:t>
                  </w:r>
                </w:p>
                <w:p>
                  <w:pPr>
                    <w:pStyle w:val="null3"/>
                    <w:jc w:val="both"/>
                  </w:pPr>
                  <w:r>
                    <w:rPr>
                      <w:rFonts w:ascii="仿宋_GB2312" w:hAnsi="仿宋_GB2312" w:cs="仿宋_GB2312" w:eastAsia="仿宋_GB2312"/>
                      <w:sz w:val="21"/>
                    </w:rPr>
                    <w:t>（三）上位机系统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具备完整的车辆信息录入界面，可记录车辆号牌、VIN码、厂牌型号、发动机型号、燃料类型、驱动形式、额定功率/扭矩等关键信息。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支持车辆信息数据库功能，历史检测车辆再次登录时可自动调取并填充信息。</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支持检测编号（ID）管理，具备“初检”与“复检”模式，能自动关联同一车辆的多次检测记录。</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软件应能引导操作员完成从车辆登录、上线到检测完成的全流程自动化操作，并通过屏幕提示和灯屏（如配置）给出明确指引。</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支持在流程中灵活选择或定制检测项目序列。</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底盘功率扫描测试：支持测量并绘制发动机全油门下的功率-扭矩-转速曲线，准确捕最大功率及最大扭矩点。测试过程应支持设置最高测试车速或转速作为终止条件。</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加速度性能测试：支持测量车辆在特定速度区间（如0-100km/h，0-60km/h）或用户自定义区间的加速时间。</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滑行性能测试：支持测量车辆在特定速度区间（如40-0km/h）或用户自定义区间的滑行时间与距离。</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车速表校验：通过比对滚筒实测车速与车辆仪表显示车速，自动计算并判定车速表示值误差。</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里程表校验：通过比对滚筒实测行驶距离与车辆里程表计数变化，自动计算并判定里程表示值误差。</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恒速测试：能够将车辆稳定在用户设定的恒定速度下进行测试或诊断。</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恒力测试：能够将车辆稳定在用户设定的恒定牵引力下进行测试。</w:t>
                  </w:r>
                </w:p>
                <w:p>
                  <w:pPr>
                    <w:pStyle w:val="null3"/>
                    <w:jc w:val="both"/>
                  </w:pPr>
                  <w:r>
                    <w:rPr>
                      <w:rFonts w:ascii="仿宋_GB2312" w:hAnsi="仿宋_GB2312" w:cs="仿宋_GB2312" w:eastAsia="仿宋_GB2312"/>
                      <w:sz w:val="21"/>
                    </w:rPr>
                    <w:t>▲13.实时数据监控：测试过程中，软件主界面需实时、动态显示车速、转速、功率、扭矩、油门位置等关键参数及曲线。</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软件需提供独立的“下位机测试”或“调试”界面，用于检查光电开关、继电器、通讯信号等硬件状态。</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集成设备校准功能，可通过标准砝码对测功机的扭矩测量系统进行软件标定，并支持标定系数的读取与写入。</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具备软件参数设置界面，允许授权用户对机构信息、环境参数、串口通讯、常用项目默认值（如引车员、厂牌型号等）进行配置。</w:t>
                  </w:r>
                </w:p>
                <w:p>
                  <w:pPr>
                    <w:pStyle w:val="null3"/>
                    <w:jc w:val="both"/>
                  </w:pPr>
                  <w:r>
                    <w:rPr>
                      <w:rFonts w:ascii="仿宋_GB2312" w:hAnsi="仿宋_GB2312" w:cs="仿宋_GB2312" w:eastAsia="仿宋_GB2312"/>
                      <w:sz w:val="21"/>
                    </w:rPr>
                    <w:t>▲17.检测报告生成：每项检测完成后，能自动生成规范的检测报告。报告内容需包含车辆基本信息、检测项目、检测数据、结果判定（如适用）、曲线图谱等。所有检测数据及报告必须自动保存至中心数据库，确保数据安全、不可篡改。支持历史数据查询功能，支持按日期、车牌号、检测编号等多种条件进行组合查询与检索。支持对同一车辆的历史检测曲线进行同屏比对分析。</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12</w:t>
                  </w:r>
                </w:p>
              </w:tc>
              <w:tc>
                <w:tcPr>
                  <w:tcW w:type="dxa" w:w="3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汽车电气安全检验台</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（一）功能</w:t>
                  </w:r>
                </w:p>
                <w:p>
                  <w:pPr>
                    <w:pStyle w:val="null3"/>
                    <w:jc w:val="both"/>
                  </w:pPr>
                  <w:r>
                    <w:rPr>
                      <w:rFonts w:ascii="仿宋_GB2312" w:hAnsi="仿宋_GB2312" w:cs="仿宋_GB2312" w:eastAsia="仿宋_GB2312"/>
                      <w:sz w:val="21"/>
                    </w:rPr>
                    <w:t>包含《GB18384-2020 电动汽车安全要求》中的安规测量项目：绝缘电阻、电位均衡、整车绝缘和绝缘监视等测试。支持新能源汽车性能检测规范，支持试验控制、数据分析与显示、数据记录等功能。具备检测实验项目布置、结果数据分析解析，每个检测环节含有包含当前最新的车辆安全性能标准、指标体系资源，支持不同车型的检测参数；</w:t>
                  </w:r>
                </w:p>
                <w:p>
                  <w:pPr>
                    <w:pStyle w:val="null3"/>
                    <w:jc w:val="both"/>
                  </w:pPr>
                  <w:r>
                    <w:rPr>
                      <w:rFonts w:ascii="仿宋_GB2312" w:hAnsi="仿宋_GB2312" w:cs="仿宋_GB2312" w:eastAsia="仿宋_GB2312"/>
                      <w:sz w:val="21"/>
                    </w:rPr>
                    <w:t>（二）参数：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工控机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）处理器：≥8核心12线程，主频：≥3.2GHz,；</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）网卡及接口：≥2xWLAN千兆接口；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）内存：≥32GB；</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）硬盘容量：≥1TB HHD*2,双硬盘互备份；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安规测试仪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）接口：USB；</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）通信方式：USB、蓝牙 5.1；</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）供电方式：USB或电池；</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）最大功率：≤5W；</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）满足法规GB18384-2020；</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）测试功能：至少包括电位均衡测试、绝缘电阻测量、整车带电绝缘电阻测量、绝缘监测器功能验证、电压测量、电阻测量、电容测量、电感测量、二极管测量；</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）检测参数：</w:t>
                  </w:r>
                </w:p>
                <w:p>
                  <w:pPr>
                    <w:pStyle w:val="null3"/>
                    <w:jc w:val="both"/>
                  </w:pPr>
                  <w:r>
                    <w:rPr>
                      <w:rFonts w:ascii="仿宋_GB2312" w:hAnsi="仿宋_GB2312" w:cs="仿宋_GB2312" w:eastAsia="仿宋_GB2312"/>
                      <w:sz w:val="21"/>
                    </w:rPr>
                    <w:t>（1）整车绝缘电阻测试：内置双路电压测试功能，支持-1500to1500VDC,1000VAC测量；自动实现测量中的电阻并联及结果计算。</w:t>
                  </w:r>
                </w:p>
                <w:p>
                  <w:pPr>
                    <w:pStyle w:val="null3"/>
                    <w:jc w:val="both"/>
                  </w:pPr>
                  <w:r>
                    <w:rPr>
                      <w:rFonts w:ascii="仿宋_GB2312" w:hAnsi="仿宋_GB2312" w:cs="仿宋_GB2312" w:eastAsia="仿宋_GB2312"/>
                      <w:sz w:val="21"/>
                    </w:rPr>
                    <w:t>（2）电位均衡测试：</w:t>
                  </w:r>
                </w:p>
                <w:p>
                  <w:pPr>
                    <w:pStyle w:val="null3"/>
                    <w:jc w:val="both"/>
                  </w:pPr>
                  <w:r>
                    <w:rPr>
                      <w:rFonts w:ascii="仿宋_GB2312" w:hAnsi="仿宋_GB2312" w:cs="仿宋_GB2312" w:eastAsia="仿宋_GB2312"/>
                      <w:sz w:val="21"/>
                    </w:rPr>
                    <w:t>测量电流     量程        相对误差</w:t>
                  </w:r>
                </w:p>
                <w:p>
                  <w:pPr>
                    <w:pStyle w:val="null3"/>
                    <w:jc w:val="both"/>
                  </w:pPr>
                  <w:r>
                    <w:rPr>
                      <w:rFonts w:ascii="仿宋_GB2312" w:hAnsi="仿宋_GB2312" w:cs="仿宋_GB2312" w:eastAsia="仿宋_GB2312"/>
                      <w:sz w:val="21"/>
                    </w:rPr>
                    <w:t xml:space="preserve">            100/200mA   </w:t>
                  </w:r>
                  <w:r>
                    <w:rPr>
                      <w:rFonts w:ascii="仿宋_GB2312" w:hAnsi="仿宋_GB2312" w:cs="仿宋_GB2312" w:eastAsia="仿宋_GB2312"/>
                      <w:sz w:val="21"/>
                    </w:rPr>
                    <w:t>≤3.5%V.M.</w:t>
                  </w:r>
                </w:p>
                <w:p>
                  <w:pPr>
                    <w:pStyle w:val="null3"/>
                    <w:ind w:firstLine="1260"/>
                    <w:jc w:val="both"/>
                  </w:pPr>
                  <w:r>
                    <w:rPr>
                      <w:rFonts w:ascii="仿宋_GB2312" w:hAnsi="仿宋_GB2312" w:cs="仿宋_GB2312" w:eastAsia="仿宋_GB2312"/>
                      <w:sz w:val="21"/>
                    </w:rPr>
                    <w:t xml:space="preserve">1A/3A       </w:t>
                  </w:r>
                  <w:r>
                    <w:rPr>
                      <w:rFonts w:ascii="仿宋_GB2312" w:hAnsi="仿宋_GB2312" w:cs="仿宋_GB2312" w:eastAsia="仿宋_GB2312"/>
                      <w:sz w:val="21"/>
                    </w:rPr>
                    <w:t>≤3.5%V.M.</w:t>
                  </w:r>
                </w:p>
                <w:p>
                  <w:pPr>
                    <w:pStyle w:val="null3"/>
                    <w:ind w:firstLine="1260"/>
                    <w:jc w:val="both"/>
                  </w:pPr>
                  <w:r>
                    <w:rPr>
                      <w:rFonts w:ascii="仿宋_GB2312" w:hAnsi="仿宋_GB2312" w:cs="仿宋_GB2312" w:eastAsia="仿宋_GB2312"/>
                      <w:sz w:val="21"/>
                    </w:rPr>
                    <w:t xml:space="preserve">5A/10A      </w:t>
                  </w:r>
                  <w:r>
                    <w:rPr>
                      <w:rFonts w:ascii="仿宋_GB2312" w:hAnsi="仿宋_GB2312" w:cs="仿宋_GB2312" w:eastAsia="仿宋_GB2312"/>
                      <w:sz w:val="21"/>
                    </w:rPr>
                    <w:t>≤3.5%V.M.；</w:t>
                  </w:r>
                </w:p>
                <w:p>
                  <w:pPr>
                    <w:pStyle w:val="null3"/>
                    <w:jc w:val="both"/>
                  </w:pPr>
                  <w:r>
                    <w:rPr>
                      <w:rFonts w:ascii="仿宋_GB2312" w:hAnsi="仿宋_GB2312" w:cs="仿宋_GB2312" w:eastAsia="仿宋_GB2312"/>
                      <w:sz w:val="21"/>
                    </w:rPr>
                    <w:t>（3）绝缘电阻测量：</w:t>
                  </w:r>
                </w:p>
                <w:p>
                  <w:pPr>
                    <w:pStyle w:val="null3"/>
                    <w:jc w:val="both"/>
                  </w:pPr>
                  <w:r>
                    <w:rPr>
                      <w:rFonts w:ascii="仿宋_GB2312" w:hAnsi="仿宋_GB2312" w:cs="仿宋_GB2312" w:eastAsia="仿宋_GB2312"/>
                      <w:sz w:val="21"/>
                    </w:rPr>
                    <w:t>测量范围   分辨率     相对误差</w:t>
                  </w:r>
                </w:p>
                <w:p>
                  <w:pPr>
                    <w:pStyle w:val="null3"/>
                    <w:jc w:val="both"/>
                  </w:pPr>
                  <w:r>
                    <w:rPr>
                      <w:rFonts w:ascii="仿宋_GB2312" w:hAnsi="仿宋_GB2312" w:cs="仿宋_GB2312" w:eastAsia="仿宋_GB2312"/>
                      <w:sz w:val="21"/>
                    </w:rPr>
                    <w:t>1-100 M</w:t>
                  </w:r>
                  <w:r>
                    <w:rPr>
                      <w:rFonts w:ascii="仿宋_GB2312" w:hAnsi="仿宋_GB2312" w:cs="仿宋_GB2312" w:eastAsia="仿宋_GB2312"/>
                      <w:sz w:val="21"/>
                    </w:rPr>
                    <w:t>Ω  ≤10kΩ    ≤1.5%V.M.</w:t>
                  </w:r>
                </w:p>
                <w:p>
                  <w:pPr>
                    <w:pStyle w:val="null3"/>
                    <w:jc w:val="both"/>
                  </w:pPr>
                  <w:r>
                    <w:rPr>
                      <w:rFonts w:ascii="仿宋_GB2312" w:hAnsi="仿宋_GB2312" w:cs="仿宋_GB2312" w:eastAsia="仿宋_GB2312"/>
                      <w:sz w:val="21"/>
                    </w:rPr>
                    <w:t>0.1-0.5G</w:t>
                  </w:r>
                  <w:r>
                    <w:rPr>
                      <w:rFonts w:ascii="仿宋_GB2312" w:hAnsi="仿宋_GB2312" w:cs="仿宋_GB2312" w:eastAsia="仿宋_GB2312"/>
                      <w:sz w:val="21"/>
                    </w:rPr>
                    <w:t>Ω ≤10kΩ    ≤3%V.M.</w:t>
                  </w:r>
                </w:p>
                <w:p>
                  <w:pPr>
                    <w:pStyle w:val="null3"/>
                    <w:jc w:val="both"/>
                  </w:pPr>
                  <w:r>
                    <w:rPr>
                      <w:rFonts w:ascii="仿宋_GB2312" w:hAnsi="仿宋_GB2312" w:cs="仿宋_GB2312" w:eastAsia="仿宋_GB2312"/>
                      <w:sz w:val="21"/>
                    </w:rPr>
                    <w:t>0.5-1 G</w:t>
                  </w:r>
                  <w:r>
                    <w:rPr>
                      <w:rFonts w:ascii="仿宋_GB2312" w:hAnsi="仿宋_GB2312" w:cs="仿宋_GB2312" w:eastAsia="仿宋_GB2312"/>
                      <w:sz w:val="21"/>
                    </w:rPr>
                    <w:t>Ω  ≤10kΩ    ≤5%V.M.；</w:t>
                  </w:r>
                </w:p>
                <w:p>
                  <w:pPr>
                    <w:pStyle w:val="null3"/>
                    <w:jc w:val="both"/>
                  </w:pPr>
                  <w:r>
                    <w:rPr>
                      <w:rFonts w:ascii="仿宋_GB2312" w:hAnsi="仿宋_GB2312" w:cs="仿宋_GB2312" w:eastAsia="仿宋_GB2312"/>
                      <w:sz w:val="21"/>
                    </w:rPr>
                    <w:t>（4）DC电压测量：</w:t>
                  </w:r>
                </w:p>
                <w:p>
                  <w:pPr>
                    <w:pStyle w:val="null3"/>
                    <w:jc w:val="both"/>
                  </w:pPr>
                  <w:r>
                    <w:rPr>
                      <w:rFonts w:ascii="仿宋_GB2312" w:hAnsi="仿宋_GB2312" w:cs="仿宋_GB2312" w:eastAsia="仿宋_GB2312"/>
                      <w:sz w:val="21"/>
                    </w:rPr>
                    <w:t>测量范围          相对误差</w:t>
                  </w:r>
                </w:p>
                <w:p>
                  <w:pPr>
                    <w:pStyle w:val="null3"/>
                    <w:jc w:val="both"/>
                  </w:pPr>
                  <w:r>
                    <w:rPr>
                      <w:rFonts w:ascii="仿宋_GB2312" w:hAnsi="仿宋_GB2312" w:cs="仿宋_GB2312" w:eastAsia="仿宋_GB2312"/>
                      <w:sz w:val="21"/>
                    </w:rPr>
                    <w:t xml:space="preserve">-15V-15V      </w:t>
                  </w:r>
                  <w:r>
                    <w:rPr>
                      <w:rFonts w:ascii="仿宋_GB2312" w:hAnsi="仿宋_GB2312" w:cs="仿宋_GB2312" w:eastAsia="仿宋_GB2312"/>
                      <w:sz w:val="21"/>
                    </w:rPr>
                    <w:t>≤ 0.5%V.M.+5digits</w:t>
                  </w:r>
                </w:p>
                <w:p>
                  <w:pPr>
                    <w:pStyle w:val="null3"/>
                    <w:jc w:val="both"/>
                  </w:pPr>
                  <w:r>
                    <w:rPr>
                      <w:rFonts w:ascii="仿宋_GB2312" w:hAnsi="仿宋_GB2312" w:cs="仿宋_GB2312" w:eastAsia="仿宋_GB2312"/>
                      <w:sz w:val="21"/>
                    </w:rPr>
                    <w:t xml:space="preserve">-150V-150V     </w:t>
                  </w:r>
                  <w:r>
                    <w:rPr>
                      <w:rFonts w:ascii="仿宋_GB2312" w:hAnsi="仿宋_GB2312" w:cs="仿宋_GB2312" w:eastAsia="仿宋_GB2312"/>
                      <w:sz w:val="21"/>
                    </w:rPr>
                    <w:t>≤ 1%V.M.+5digits</w:t>
                  </w:r>
                </w:p>
                <w:p>
                  <w:pPr>
                    <w:pStyle w:val="null3"/>
                    <w:jc w:val="both"/>
                  </w:pPr>
                  <w:r>
                    <w:rPr>
                      <w:rFonts w:ascii="仿宋_GB2312" w:hAnsi="仿宋_GB2312" w:cs="仿宋_GB2312" w:eastAsia="仿宋_GB2312"/>
                      <w:sz w:val="21"/>
                    </w:rPr>
                    <w:t xml:space="preserve">-1500V-1500V   </w:t>
                  </w:r>
                  <w:r>
                    <w:rPr>
                      <w:rFonts w:ascii="仿宋_GB2312" w:hAnsi="仿宋_GB2312" w:cs="仿宋_GB2312" w:eastAsia="仿宋_GB2312"/>
                      <w:sz w:val="21"/>
                    </w:rPr>
                    <w:t>≤ 1.5%V.M+5digits；</w:t>
                  </w:r>
                </w:p>
                <w:p>
                  <w:pPr>
                    <w:pStyle w:val="null3"/>
                    <w:jc w:val="both"/>
                  </w:pPr>
                  <w:r>
                    <w:rPr>
                      <w:rFonts w:ascii="仿宋_GB2312" w:hAnsi="仿宋_GB2312" w:cs="仿宋_GB2312" w:eastAsia="仿宋_GB2312"/>
                      <w:sz w:val="21"/>
                    </w:rPr>
                    <w:t>（5）AC电压测量：</w:t>
                  </w:r>
                </w:p>
                <w:p>
                  <w:pPr>
                    <w:pStyle w:val="null3"/>
                    <w:jc w:val="both"/>
                  </w:pPr>
                  <w:r>
                    <w:rPr>
                      <w:rFonts w:ascii="仿宋_GB2312" w:hAnsi="仿宋_GB2312" w:cs="仿宋_GB2312" w:eastAsia="仿宋_GB2312"/>
                      <w:sz w:val="21"/>
                    </w:rPr>
                    <w:t>测量范围          相对误差</w:t>
                  </w:r>
                </w:p>
                <w:p>
                  <w:pPr>
                    <w:pStyle w:val="null3"/>
                    <w:jc w:val="both"/>
                  </w:pPr>
                  <w:r>
                    <w:rPr>
                      <w:rFonts w:ascii="仿宋_GB2312" w:hAnsi="仿宋_GB2312" w:cs="仿宋_GB2312" w:eastAsia="仿宋_GB2312"/>
                      <w:sz w:val="21"/>
                    </w:rPr>
                    <w:t xml:space="preserve">-10V-10V       </w:t>
                  </w:r>
                  <w:r>
                    <w:rPr>
                      <w:rFonts w:ascii="仿宋_GB2312" w:hAnsi="仿宋_GB2312" w:cs="仿宋_GB2312" w:eastAsia="仿宋_GB2312"/>
                      <w:sz w:val="21"/>
                    </w:rPr>
                    <w:t>±0.5%V.M.+5digits</w:t>
                  </w:r>
                </w:p>
                <w:p>
                  <w:pPr>
                    <w:pStyle w:val="null3"/>
                    <w:jc w:val="both"/>
                  </w:pPr>
                  <w:r>
                    <w:rPr>
                      <w:rFonts w:ascii="仿宋_GB2312" w:hAnsi="仿宋_GB2312" w:cs="仿宋_GB2312" w:eastAsia="仿宋_GB2312"/>
                      <w:sz w:val="21"/>
                    </w:rPr>
                    <w:t xml:space="preserve">-100-100V       </w:t>
                  </w:r>
                  <w:r>
                    <w:rPr>
                      <w:rFonts w:ascii="仿宋_GB2312" w:hAnsi="仿宋_GB2312" w:cs="仿宋_GB2312" w:eastAsia="仿宋_GB2312"/>
                      <w:sz w:val="21"/>
                    </w:rPr>
                    <w:t>±1%V.M.+5digits</w:t>
                  </w:r>
                </w:p>
                <w:p>
                  <w:pPr>
                    <w:pStyle w:val="null3"/>
                    <w:jc w:val="both"/>
                  </w:pPr>
                  <w:r>
                    <w:rPr>
                      <w:rFonts w:ascii="仿宋_GB2312" w:hAnsi="仿宋_GB2312" w:cs="仿宋_GB2312" w:eastAsia="仿宋_GB2312"/>
                      <w:sz w:val="21"/>
                    </w:rPr>
                    <w:t xml:space="preserve">-1000V-1000V   </w:t>
                  </w:r>
                  <w:r>
                    <w:rPr>
                      <w:rFonts w:ascii="仿宋_GB2312" w:hAnsi="仿宋_GB2312" w:cs="仿宋_GB2312" w:eastAsia="仿宋_GB2312"/>
                      <w:sz w:val="21"/>
                    </w:rPr>
                    <w:t>±1.5%V.M+5digits；</w:t>
                  </w:r>
                </w:p>
                <w:p>
                  <w:pPr>
                    <w:pStyle w:val="null3"/>
                    <w:jc w:val="both"/>
                  </w:pPr>
                  <w:r>
                    <w:rPr>
                      <w:rFonts w:ascii="仿宋_GB2312" w:hAnsi="仿宋_GB2312" w:cs="仿宋_GB2312" w:eastAsia="仿宋_GB2312"/>
                      <w:sz w:val="21"/>
                    </w:rPr>
                    <w:t>（6）电容测量：0-30mF   ±4.5%V.M.；</w:t>
                  </w:r>
                </w:p>
                <w:p>
                  <w:pPr>
                    <w:pStyle w:val="null3"/>
                    <w:jc w:val="both"/>
                  </w:pPr>
                  <w:r>
                    <w:rPr>
                      <w:rFonts w:ascii="仿宋_GB2312" w:hAnsi="仿宋_GB2312" w:cs="仿宋_GB2312" w:eastAsia="仿宋_GB2312"/>
                      <w:sz w:val="21"/>
                    </w:rPr>
                    <w:t>（7）电感测量：0-3H   ±4.5%V.M.；</w:t>
                  </w:r>
                </w:p>
                <w:p>
                  <w:pPr>
                    <w:pStyle w:val="null3"/>
                    <w:jc w:val="both"/>
                  </w:pPr>
                  <w:r>
                    <w:rPr>
                      <w:rFonts w:ascii="仿宋_GB2312" w:hAnsi="仿宋_GB2312" w:cs="仿宋_GB2312" w:eastAsia="仿宋_GB2312"/>
                      <w:sz w:val="21"/>
                    </w:rPr>
                    <w:t>（8）二极管：导通性测试；</w:t>
                  </w:r>
                </w:p>
                <w:p>
                  <w:pPr>
                    <w:pStyle w:val="null3"/>
                    <w:jc w:val="both"/>
                  </w:pPr>
                  <w:r>
                    <w:rPr>
                      <w:rFonts w:ascii="仿宋_GB2312" w:hAnsi="仿宋_GB2312" w:cs="仿宋_GB2312" w:eastAsia="仿宋_GB2312"/>
                      <w:sz w:val="21"/>
                    </w:rPr>
                    <w:t>（三）上位机系统</w:t>
                  </w:r>
                </w:p>
                <w:p>
                  <w:pPr>
                    <w:pStyle w:val="null3"/>
                    <w:jc w:val="both"/>
                  </w:pPr>
                  <w:r>
                    <w:rPr>
                      <w:rFonts w:ascii="仿宋_GB2312" w:hAnsi="仿宋_GB2312" w:cs="仿宋_GB2312" w:eastAsia="仿宋_GB2312"/>
                      <w:sz w:val="21"/>
                    </w:rPr>
                    <w:t>▲1.软件需具备用户管理功能，可以录入车辆信息、客户信息，并将客户与车辆信息关联,具备车辆、客户信息新建、编辑、删除等功能;具备测量结果管理功能，可设置保存地址，可根据时间范围来查找相关历史测量结果,也可以根据测量项目（如等电位、绝缘检测等）来查找历史测量结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软件需具备操作员权限设置管理功能，可设置操作员密码，确保未经授权人员不能使用设备。</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软件需具备测量结果后保存操作员信息的功能，与车辆信息和测量项目等一并形成报告。</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8"/>
                <w:b/>
              </w:rPr>
              <w:t>三、采购人其他要求</w:t>
            </w:r>
          </w:p>
          <w:p>
            <w:pPr>
              <w:pStyle w:val="null3"/>
              <w:ind w:firstLine="480"/>
            </w:pPr>
            <w:r>
              <w:rPr>
                <w:rFonts w:ascii="仿宋_GB2312" w:hAnsi="仿宋_GB2312" w:cs="仿宋_GB2312" w:eastAsia="仿宋_GB2312"/>
                <w:sz w:val="21"/>
              </w:rPr>
              <w:t>1</w:t>
            </w:r>
            <w:r>
              <w:rPr>
                <w:rFonts w:ascii="仿宋_GB2312" w:hAnsi="仿宋_GB2312" w:cs="仿宋_GB2312" w:eastAsia="仿宋_GB2312"/>
                <w:sz w:val="21"/>
              </w:rPr>
              <w:t>、质保期要求</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）质保期限。设备质保期自验收合格之日起计算。硬件设备免费质保期原则上不少于</w:t>
            </w:r>
            <w:r>
              <w:rPr>
                <w:rFonts w:ascii="仿宋_GB2312" w:hAnsi="仿宋_GB2312" w:cs="仿宋_GB2312" w:eastAsia="仿宋_GB2312"/>
                <w:sz w:val="21"/>
              </w:rPr>
              <w:t>3</w:t>
            </w:r>
            <w:r>
              <w:rPr>
                <w:rFonts w:ascii="仿宋_GB2312" w:hAnsi="仿宋_GB2312" w:cs="仿宋_GB2312" w:eastAsia="仿宋_GB2312"/>
                <w:sz w:val="21"/>
              </w:rPr>
              <w:t>年；软件系统质保期原则上不少于</w:t>
            </w:r>
            <w:r>
              <w:rPr>
                <w:rFonts w:ascii="仿宋_GB2312" w:hAnsi="仿宋_GB2312" w:cs="仿宋_GB2312" w:eastAsia="仿宋_GB2312"/>
                <w:sz w:val="21"/>
              </w:rPr>
              <w:t>5</w:t>
            </w:r>
            <w:r>
              <w:rPr>
                <w:rFonts w:ascii="仿宋_GB2312" w:hAnsi="仿宋_GB2312" w:cs="仿宋_GB2312" w:eastAsia="仿宋_GB2312"/>
                <w:sz w:val="21"/>
              </w:rPr>
              <w:t>年。设备制造商承诺的质保期优于采购要求的，按制造商承诺执行。</w:t>
            </w:r>
          </w:p>
          <w:p>
            <w:pPr>
              <w:pStyle w:val="null3"/>
              <w:ind w:firstLine="480"/>
            </w:pPr>
            <w:r>
              <w:rPr>
                <w:rFonts w:ascii="仿宋_GB2312" w:hAnsi="仿宋_GB2312" w:cs="仿宋_GB2312" w:eastAsia="仿宋_GB2312"/>
                <w:sz w:val="21"/>
              </w:rPr>
              <w:t>（2）</w:t>
            </w:r>
            <w:r>
              <w:rPr>
                <w:rFonts w:ascii="仿宋_GB2312" w:hAnsi="仿宋_GB2312" w:cs="仿宋_GB2312" w:eastAsia="仿宋_GB2312"/>
                <w:sz w:val="21"/>
              </w:rPr>
              <w:t>质保期内，乙方应对所有硬件设备提供免费维修、免费更换故障零部件，含人工费、上门费、备件费及运输费；对所有软件系统提供免费维护、漏洞修复、版本升级及其他常规技术支持服务；因产品质量或乙方安装施工原因导致的任何故障，全部维修、更换及由此产生的运输、人工等费用均由乙方承担，甲方不就此支付任何费用。</w:t>
            </w:r>
          </w:p>
          <w:p>
            <w:pPr>
              <w:pStyle w:val="null3"/>
              <w:ind w:firstLine="480"/>
            </w:pPr>
            <w:r>
              <w:rPr>
                <w:rFonts w:ascii="仿宋_GB2312" w:hAnsi="仿宋_GB2312" w:cs="仿宋_GB2312" w:eastAsia="仿宋_GB2312"/>
                <w:sz w:val="21"/>
              </w:rPr>
              <w:t>（3）</w:t>
            </w:r>
            <w:r>
              <w:rPr>
                <w:rFonts w:ascii="仿宋_GB2312" w:hAnsi="仿宋_GB2312" w:cs="仿宋_GB2312" w:eastAsia="仿宋_GB2312"/>
                <w:sz w:val="21"/>
              </w:rPr>
              <w:t>质保期满后，乙方仍应继续提供软件系统终身免费维护，包括但不限于故障排除、数据修复、运行保障等；乙方负责硬件设备的终身维修；维护维修人工费及上门费，收费标准不得高于乙方同期向市场其他同类客户收取价格。确需更换零配件的，乙方应保证更换的零配件为原厂原装新品，仅按配件成本费收取，成本费以乙方向原厂采购的采购凭证价格为准，不另加管理费或服务费，并由乙方负责更换安装并调试至正常运行。</w:t>
            </w:r>
          </w:p>
          <w:p>
            <w:pPr>
              <w:pStyle w:val="null3"/>
              <w:ind w:firstLine="480"/>
            </w:pPr>
            <w:r>
              <w:rPr>
                <w:rFonts w:ascii="仿宋_GB2312" w:hAnsi="仿宋_GB2312" w:cs="仿宋_GB2312" w:eastAsia="仿宋_GB2312"/>
                <w:sz w:val="21"/>
              </w:rPr>
              <w:t>2</w:t>
            </w:r>
            <w:r>
              <w:rPr>
                <w:rFonts w:ascii="仿宋_GB2312" w:hAnsi="仿宋_GB2312" w:cs="仿宋_GB2312" w:eastAsia="仿宋_GB2312"/>
                <w:sz w:val="21"/>
              </w:rPr>
              <w:t>、售后服务要求</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）响应时效。供应商应提供明确的售后响应时间承诺。接到报修通知后</w:t>
            </w:r>
            <w:r>
              <w:rPr>
                <w:rFonts w:ascii="仿宋_GB2312" w:hAnsi="仿宋_GB2312" w:cs="仿宋_GB2312" w:eastAsia="仿宋_GB2312"/>
                <w:sz w:val="21"/>
              </w:rPr>
              <w:t>8</w:t>
            </w:r>
            <w:r>
              <w:rPr>
                <w:rFonts w:ascii="仿宋_GB2312" w:hAnsi="仿宋_GB2312" w:cs="仿宋_GB2312" w:eastAsia="仿宋_GB2312"/>
                <w:sz w:val="21"/>
              </w:rPr>
              <w:t>小时内响应，</w:t>
            </w:r>
            <w:r>
              <w:rPr>
                <w:rFonts w:ascii="仿宋_GB2312" w:hAnsi="仿宋_GB2312" w:cs="仿宋_GB2312" w:eastAsia="仿宋_GB2312"/>
                <w:sz w:val="21"/>
              </w:rPr>
              <w:t>24</w:t>
            </w:r>
            <w:r>
              <w:rPr>
                <w:rFonts w:ascii="仿宋_GB2312" w:hAnsi="仿宋_GB2312" w:cs="仿宋_GB2312" w:eastAsia="仿宋_GB2312"/>
                <w:sz w:val="21"/>
              </w:rPr>
              <w:t>小时内解决问题并完成维修或更换。</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）备件保障。若设备故障在约定时间内无法修复，供应商应提供性能完好的备用设备供采购人使用，确保学校教学科研工作不受影响。备用设备的规格配置及性能不得低于原设备要求。</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）服务团队。供应商应配有专业维修工程师，并指派专人负责与采购人联系售后服务事宜。供应商应提供售后服务联系负责人、联系电话、地址等信息。</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）定期巡检。质保期内供应商应定期上门巡检，一般每季度不少于</w:t>
            </w:r>
            <w:r>
              <w:rPr>
                <w:rFonts w:ascii="仿宋_GB2312" w:hAnsi="仿宋_GB2312" w:cs="仿宋_GB2312" w:eastAsia="仿宋_GB2312"/>
                <w:sz w:val="21"/>
              </w:rPr>
              <w:t>1</w:t>
            </w:r>
            <w:r>
              <w:rPr>
                <w:rFonts w:ascii="仿宋_GB2312" w:hAnsi="仿宋_GB2312" w:cs="仿宋_GB2312" w:eastAsia="仿宋_GB2312"/>
                <w:sz w:val="21"/>
              </w:rPr>
              <w:t>次或每年不少于</w:t>
            </w:r>
            <w:r>
              <w:rPr>
                <w:rFonts w:ascii="仿宋_GB2312" w:hAnsi="仿宋_GB2312" w:cs="仿宋_GB2312" w:eastAsia="仿宋_GB2312"/>
                <w:sz w:val="21"/>
              </w:rPr>
              <w:t>2</w:t>
            </w:r>
            <w:r>
              <w:rPr>
                <w:rFonts w:ascii="仿宋_GB2312" w:hAnsi="仿宋_GB2312" w:cs="仿宋_GB2312" w:eastAsia="仿宋_GB2312"/>
                <w:sz w:val="21"/>
              </w:rPr>
              <w:t>次，并出具设备运行报告。</w:t>
            </w:r>
          </w:p>
          <w:p>
            <w:pPr>
              <w:pStyle w:val="null3"/>
              <w:ind w:firstLine="480"/>
            </w:pPr>
            <w:r>
              <w:rPr>
                <w:rFonts w:ascii="仿宋_GB2312" w:hAnsi="仿宋_GB2312" w:cs="仿宋_GB2312" w:eastAsia="仿宋_GB2312"/>
                <w:sz w:val="21"/>
              </w:rPr>
              <w:t>3</w:t>
            </w:r>
            <w:r>
              <w:rPr>
                <w:rFonts w:ascii="仿宋_GB2312" w:hAnsi="仿宋_GB2312" w:cs="仿宋_GB2312" w:eastAsia="仿宋_GB2312"/>
                <w:sz w:val="21"/>
              </w:rPr>
              <w:t>、软件升级要求</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）免费升级。质保期内，供应商应免费提供软件版本升级、功能模块拓展与维护等服务。软件升级后，供应商应主动对采购设备进行免费升级。</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）长期保障。涉及软件产品的，应要求供应商对系统终身负责升级。质保期满后，仍应免费提供软件升级及技术支持服务。如拟投产品软件在约定年限内有升级，应免费提供升级服务。</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）升级通知。质保期内，如供应商和制造商的产品有升级，供应商应及时通知采购人；如采购人有相应要求，供应商应对采购人购买的产品进行升级服务。</w:t>
            </w:r>
          </w:p>
          <w:p>
            <w:pPr>
              <w:pStyle w:val="null3"/>
              <w:ind w:firstLine="480"/>
            </w:pPr>
            <w:r>
              <w:rPr>
                <w:rFonts w:ascii="仿宋_GB2312" w:hAnsi="仿宋_GB2312" w:cs="仿宋_GB2312" w:eastAsia="仿宋_GB2312"/>
                <w:sz w:val="21"/>
              </w:rPr>
              <w:t>4</w:t>
            </w:r>
            <w:r>
              <w:rPr>
                <w:rFonts w:ascii="仿宋_GB2312" w:hAnsi="仿宋_GB2312" w:cs="仿宋_GB2312" w:eastAsia="仿宋_GB2312"/>
                <w:sz w:val="21"/>
              </w:rPr>
              <w:t>、培训要求</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培训内容与标准。供应商应对采购人相关人员进行免费现场培训或集中培训，培训内容包括设备操作使用、注意事项、相关理论知识、结构介绍、日常维护等。培训应达到采购人相关人员能够独立操作、熟练使用、维护和管理设备或软件的标准。</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）培训安排。供应商应在设备安装调试完成后及时安排培训。具体培训时间、地点及人员数量由采购人决定。培训名额不限，培训期间发生的相关费用均由供应商负责。</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）培训资料。供应商应为所有被培训人员提供培训用文字资料和讲义等相关材料。每台设备均应提供一套完整的中文技术资料，包括操作手册、使用说明、维修保养操作手册、安装手册、产品合格证等。</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）持续培训。质保期内，供应商应根据采购人需求提供再培训或每年不少于两次的现场技术培训。在采购人使用期间视需求可提供再培训。</w:t>
            </w:r>
          </w:p>
          <w:p>
            <w:pPr>
              <w:pStyle w:val="null3"/>
            </w:pPr>
            <w:r>
              <w:rPr>
                <w:rFonts w:ascii="仿宋_GB2312" w:hAnsi="仿宋_GB2312" w:cs="仿宋_GB2312" w:eastAsia="仿宋_GB2312"/>
                <w:sz w:val="21"/>
                <w:b/>
              </w:rPr>
              <w:t>备注：</w:t>
            </w:r>
          </w:p>
          <w:p>
            <w:pPr>
              <w:pStyle w:val="null3"/>
            </w:pPr>
            <w:r>
              <w:rPr>
                <w:rFonts w:ascii="仿宋_GB2312" w:hAnsi="仿宋_GB2312" w:cs="仿宋_GB2312" w:eastAsia="仿宋_GB2312"/>
                <w:sz w:val="21"/>
                <w:b/>
              </w:rPr>
              <w:t>1</w:t>
            </w:r>
            <w:r>
              <w:rPr>
                <w:rFonts w:ascii="仿宋_GB2312" w:hAnsi="仿宋_GB2312" w:cs="仿宋_GB2312" w:eastAsia="仿宋_GB2312"/>
                <w:sz w:val="21"/>
                <w:b/>
              </w:rPr>
              <w:t>、本项目采购的如有产品属于节能产品政府采购品目清单中应强制采购的产品范围，供应商应当提供国家确定的认证机构出具的、处于有效期之内的节能产品认证证书，否则作无效投标处理。（节能产品政府采购品目清单见附件）</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、本项目采购的产品如有属于强制性产品认证目录中的产品，供应商应提供有效的3C认证证书；否则作无效投标处理。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并完成甲方所有内部付款审批程序，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质保期：设备质保期自验收合格之日起计算。硬件设备免费质保期原则上不少于3年；软件系统质保期原则上不少于5年。设备制造商承诺的质保期优于采购要求的，按制造商承诺执行。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1、纸质投标文件递交要求： ①投标人须线下提交纸质投标文件正本壹份、副本贰份、电子版壹份（U盘壹份），内容和通过电子化交易平台实施的政府采购项目提交的投标文件一致。 ②纸质投标文件正本、副本、电子版，标明投标人名称分开密封递交（纸质投标文件采用双面打印）。 ③线下纸质文件递交截止时间：同在线递交电子投标文件截止时间一致；线下纸质文件递交地点：西安市雁展路1111号莱安中心T6-15层。如需邮寄响应文件，仅接受顺丰速运（联系人：杭琨、联系电话：029-81206622-825）。 2、保证金的退还：自中标通知书发出之日起5个工作日内退还未中标人的投标保证金,自采购合同签订之日起5个工作日内退还中标人的投标保证金。 3、采购人应按照采购文件和中标人投标文件，在中标通知书发出之日起25日内签订合同。 4、现场踏勘： （1）供应商因自身原因未按时进行现场踏勘，而导致的任何风险，由供应商自行承担。 （2）凡因对现场环境、市场行情等了解不清而造成的后果和风险，由供应商自行承担。 （3）踏勘相关费用及安全由供应商自行承担。 （4）请确认踏勘的供应商在踏勘时间前将公司名称、踏勘联系人、联系电话编辑文字发送至邮箱710070685@qq.com。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注：①提供审计报告的，根据《财政部关于注册会计师行业统一监管平台上线运行的通知》财办(2022)32号文件要求，审计报告须有清晰可扫描查询的二维码，若审计报告未赋码视为无效。 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5.投标人资格证明文件.docx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2.分项报价表.docx 标的清单 1.开标一览表（报价表）.docx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5.投标人资格证明文件.docx 2.分项报价表.docx 附件-节能产品政府采购品目清单、环境标志产品政府采购品目清单.docx 中小企业声明函 1.开标一览表（报价表）.docx 投标函 残疾人福利性单位声明函 标的清单 关于符合本国产品标准的声明函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5.投标人资格证明文件.docx 2.分项报价表.docx 附件-节能产品政府采购品目清单、环境标志产品政府采购品目清单.docx 中小企业声明函 1.开标一览表（报价表）.docx 投标函 残疾人福利性单位声明函 标的清单 关于符合本国产品标准的声明函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8.保证金交纳凭证保函.docx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5.投标人资格证明文件.docx 2.分项报价表.docx 投标函 标的清单 3.技术指标偏差表.docx 7.投标人承诺书.docx 4.商务条款响应说明.docx 1.开标一览表（报价表）.docx 6.投标方案说明.docx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对招标文件技术参数要求部分的所有指标，投标人应逐条进行响应。完全符合、响应招标文件要求，没有负偏离的得25分； （1）“▲”号参数为重要指标，每负偏离1项扣1分； （2）非“▲”号参数每负偏离1项扣0.5分，扣完为止。 备注：①技术参数中“演示”项不计入评分。 ②“▲”号参数需提供佐证材料，不限于产品检测报告或产品彩页或产品说明书或官网功能截图等，未提供者视为负偏离。其余参数以技术指标偏差表响应为准。 ③所投产品完全复制招标文件技术指标要求的，可给予5分扣减（文字描述、国标、定制尺寸的技术指标除外）。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投标人对“机动车司法鉴定平台”的以下功能进行演示： 演示项1（2.5分）：汽车仿真功能： 1）模拟车辆总线的通信行为和数据传输，可自定义总线数据的发送频率、内容等。支持不限于 ISO 15765、ISO 14230、ISO 27145等总线协议的仿真。 2）整车ECU数据仿真功能：具备≥50个品牌车型的整车ECU数据仿真库，用于教学实训；支持全车故障数据的模拟仿真；支持套牌/拼改车辆数据的模拟仿真；支持多系统里程数据的模拟仿真；支持电池数据的模拟仿真；支持年检预检功能的模拟仿真；支持汽车总线网络拓扑图展示，各个节点ECU数据仿真内容查看；实时总线数据监测展示，可支持定向查看某一ECU和总线节点数据。 3）EDR数据仿真功能：具备≥30个品牌车型的EDR数据仿真数据库，支持燃油汽车、新能源汽车等不同品牌车型，用于教学实训；支持不同品牌的EDR数据的解读标准查阅；支持EDR模块的介绍及通信过程中实时总线数据监测展示。 4）仿真文件管理：支持燃油汽车和新能源汽车等不同品牌车型数据仿真文件管理和导入。 演示项2（2.5分）：数据分析功能： 1）数据分析功能从基础的车辆常规参数及系统状态随时间变化的统计分析，到针对特定事件进行关键数据提取及多系统数据关联分析，再利用数据挖掘算法探索潜在规律，最后结合 数据分析技术实现关键数据标记和事故动态轨迹图。 2）VDR轨迹数据分析：支持对大车行驶记录仪VDR报告轨迹数据的分析，支持单点轨迹查勘，支持时间过滤分析，支持特殊行为设定分析等，过滤分析关键信息内容。 3）故障冻结帧与EDR事故时间分析：对车辆故障冻结的里程、时间、EDR事故时间、事故里程、点火周期等常规参数进行统计分析。以时间或里程为基准分析发生的先后序列。 4）EDR可视化分析：针对特定EDR事件(如事故、系统故障等)，提取事件发生前后关键数据的变化情况。分析多个系统之间数据在事件中的关联性，可视化展示事故碰撞位置、气囊弹开情况。按事件的发生先后和关联关系，按时间轴可视化展示每个事故的碰撞形态，气囊弹开情况，人员安全带状态等。 演示项3（2.5分）：汽车取证AI大模型数据分析功能： 具备本地化部署的AI模型，支持汽车电子数据报告分析；大模型及本地知识库，具备AI助手、AI事故仿真功能；内置EDR模块数据说明功能，自动解释汽车电子数据中的专业术语（如碰撞加速度、制动状态等），智能解读取证报告，提供研判分析结论；内置行业知识库、操作引导、支持率查询等日常操作；AI事故仿真：AI结合EDR（Event Data Recorder）模块记录的碰撞前后关键数据（如碰撞前5秒的加速度、制动状态、方向盘转角等），通过动力学模型重建事故过程，动态模拟车辆运动轨迹和驾驶员操作。 演示项4（2.5分）：教学场景： 投屏演示、课堂指导教学场景；支持事故气囊模块检测出具检测报告，支持汽车事故气囊相关社会案件取证服务能力。 评审标准： 1、每项功能演示完全满足采购需求得2.5分； 2、每项功能演示与采购需求不符、演示不全或未演示的不得分。 备注： 1、投标人需到评审现场进行演示，到场时间同开标时间。 2、投标人自行提供演示所需设备（电脑、音箱、转换接口等）及网络环境，演示时长不超过15分钟（不含提问及解答时间）。</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投标人针对本项目有具体实施方案，内容包含：①项目总体实施方案；②项目团队方案；③项目实施时间安排方案；④产品安装调试方案和验收方案。 评审依据：各项内容全面详细、阐述条理清晰、对评审内容中的各项要求有详细描述及说明得8分，每有一项缺项扣2分，每有一项内容存在一处缺陷扣0.5分，扣完为止。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1、根据投标人提供产品合法来源证明文件（包括但不限于产品制造商授权、销售协议、代理协议、原厂授权等）情况赋分：提供核心产品（机动车司法鉴定平台），计2分，否则不得分。 2、投标人在现有硬件质保期的基础上，每增加一年质保加1分，最多加2分。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针对本项目有具体的培训方案，该方案包含：①培训内容与标准；②培训计划安排； 评审依据：各项内容全面详细、阐述条理清晰、对评审内容中的各项要求有详细描述及说明得4分，每有一项缺项扣2分，每有一项内容存在一处缺陷扣0.5分，扣完为止。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具体的售后服务方案，内容包含：①售后服务网点的设定；②拟投入售后服务人员配置情况；③日常维护保养；④项目交付用户后出现故障响应时间及措施；⑤备品备件、耗材更换的服务承诺。 评审依据：各项内容全面详细、阐述条理清晰、对评审内容中的各项要求有详细描述及说明得5分，每有一项缺项扣1分，每有一项内容存在一处缺陷扣0.5分，扣完为止。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投标人提供针对本项目的人员保障方案，包括但不限于①拟定的管理机构；②工作职能组织运行图（至少包含人员的基本信息、工作经验、相关证书等）；③岗位职责制度等。 评审依据：各项内容全面详细、阐述条理清晰、对评审内容中的各项要求有详细描述及说明得3分，每有一项缺项扣1分，每有一项内容存在一处缺陷扣0.5分，扣完为止。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类似项目业绩。业绩须提供合同扫描件，必须清晰体现签约主体和日期、合同名称及内容、合同金额核心要素，否则不计为有效业绩。每提供1个有效业绩得0.5分，最高得2分。 备注：投标文件中提供合同扫描件加盖公章。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踏勘</w:t>
            </w:r>
          </w:p>
        </w:tc>
        <w:tc>
          <w:tcPr>
            <w:tcW w:type="dxa" w:w="2492"/>
          </w:tcPr>
          <w:p>
            <w:pPr>
              <w:pStyle w:val="null3"/>
            </w:pPr>
            <w:r>
              <w:rPr>
                <w:rFonts w:ascii="仿宋_GB2312" w:hAnsi="仿宋_GB2312" w:cs="仿宋_GB2312" w:eastAsia="仿宋_GB2312"/>
              </w:rPr>
              <w:t>为保证投标人充分了解现场环境及现状，合理实施本项目，投标人需对现场进行踏勘。本项目统一组织踏勘，代理机构专人组织各投标人签到，迟到投标人一律不予签到；密封条上各踏勘投标人代表须签字，评审现场监控下拆封复核。参与本项目踏勘的投标人计3分。对于未参与本项目踏勘的投标人本项不得分。 赋分依据：以代理机构评审现场拆封的踏勘签到表为准。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1.开标一览表（报价表）.docx</w:t>
            </w:r>
          </w:p>
          <w:p>
            <w:pPr>
              <w:pStyle w:val="null3"/>
            </w:pPr>
            <w:r>
              <w:rPr>
                <w:rFonts w:ascii="仿宋_GB2312" w:hAnsi="仿宋_GB2312" w:cs="仿宋_GB2312" w:eastAsia="仿宋_GB2312"/>
              </w:rPr>
              <w:t>2.分项报价表.docx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投标报价得分=（评标基准价/投标报价）×35，满足招标文件要求且投标价格最低的投标报价为评标基准价，其价格分为满分35分。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详见附件：5.投标人资格证明文件.docx</w:t>
      </w:r>
    </w:p>
    <w:p>
      <w:pPr>
        <w:pStyle w:val="null3"/>
        <w:ind w:firstLine="960"/>
      </w:pPr>
      <w:r>
        <w:rPr>
          <w:rFonts w:ascii="仿宋_GB2312" w:hAnsi="仿宋_GB2312" w:cs="仿宋_GB2312" w:eastAsia="仿宋_GB2312"/>
        </w:rPr>
        <w:t>详见附件：6.投标方案说明.docx</w:t>
      </w:r>
    </w:p>
    <w:p>
      <w:pPr>
        <w:pStyle w:val="null3"/>
        <w:ind w:firstLine="960"/>
      </w:pPr>
      <w:r>
        <w:rPr>
          <w:rFonts w:ascii="仿宋_GB2312" w:hAnsi="仿宋_GB2312" w:cs="仿宋_GB2312" w:eastAsia="仿宋_GB2312"/>
        </w:rPr>
        <w:t>详见附件：7.投标人承诺书.docx</w:t>
      </w:r>
    </w:p>
    <w:p>
      <w:pPr>
        <w:pStyle w:val="null3"/>
        <w:ind w:firstLine="960"/>
      </w:pPr>
      <w:r>
        <w:rPr>
          <w:rFonts w:ascii="仿宋_GB2312" w:hAnsi="仿宋_GB2312" w:cs="仿宋_GB2312" w:eastAsia="仿宋_GB2312"/>
        </w:rPr>
        <w:t>详见附件：8.保证金交纳凭证保函.docx</w:t>
      </w:r>
    </w:p>
    <w:p>
      <w:pPr>
        <w:pStyle w:val="null3"/>
        <w:ind w:firstLine="960"/>
      </w:pPr>
      <w:r>
        <w:rPr>
          <w:rFonts w:ascii="仿宋_GB2312" w:hAnsi="仿宋_GB2312" w:cs="仿宋_GB2312" w:eastAsia="仿宋_GB2312"/>
        </w:rPr>
        <w:t>详见附件：附件-节能产品政府采购品目清单、环境标志产品政府采购品目清单.docx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