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版本号：SXPZ-2026-062220260622001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2026年南郑区阳春镇基础设施补短板项目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SXPZ-2026-0622</w:t>
      </w:r>
      <w:r>
        <w:br/>
      </w:r>
      <w:r>
        <w:br/>
      </w:r>
      <w:r>
        <w:br/>
      </w:r>
    </w:p>
    <w:p>
      <w:pPr>
        <w:pStyle w:val="null3"/>
        <w:jc w:val="center"/>
        <w:outlineLvl w:val="2"/>
      </w:pPr>
      <w:r>
        <w:rPr>
          <w:rFonts w:ascii="仿宋_GB2312" w:hAnsi="仿宋_GB2312" w:cs="仿宋_GB2312" w:eastAsia="仿宋_GB2312"/>
          <w:sz w:val="28"/>
          <w:b/>
        </w:rPr>
        <w:t>汉中市南郑区阳春镇人民政府</w:t>
      </w:r>
    </w:p>
    <w:p>
      <w:pPr>
        <w:pStyle w:val="null3"/>
        <w:jc w:val="center"/>
        <w:outlineLvl w:val="2"/>
      </w:pPr>
      <w:r>
        <w:rPr>
          <w:rFonts w:ascii="仿宋_GB2312" w:hAnsi="仿宋_GB2312" w:cs="仿宋_GB2312" w:eastAsia="仿宋_GB2312"/>
          <w:sz w:val="28"/>
          <w:b/>
        </w:rPr>
        <w:t>鹏泽项目管理有限公司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汉中市南郑区阳春镇人民政府</w:t>
      </w:r>
      <w:r>
        <w:rPr>
          <w:rFonts w:ascii="仿宋_GB2312" w:hAnsi="仿宋_GB2312" w:cs="仿宋_GB2312" w:eastAsia="仿宋_GB2312"/>
        </w:rPr>
        <w:t>委托，拟对</w:t>
      </w:r>
      <w:r>
        <w:rPr>
          <w:rFonts w:ascii="仿宋_GB2312" w:hAnsi="仿宋_GB2312" w:cs="仿宋_GB2312" w:eastAsia="仿宋_GB2312"/>
        </w:rPr>
        <w:t>2026年南郑区阳春镇基础设施补短板项目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SXPZ-2026-0622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2026年南郑区阳春镇基础设施补短板项目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1.进行村内环境卫生补短板提升，整治环境卫生脏乱差，实施垃圾点治理2处； 2.实施村内路面提升4470㎡，浆砌块料挡墙43.34m³。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采购包1（2026年南郑区阳春镇基础设施补短板项目）：属于专门面向中小企业采购。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资质要求：供应商应具备市政公用工程施工总承包三级（含三级）以上资质，并取得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3、拟派项目负责人资格要求：拟派项目负责人应具备市政公用工程专业二级（含二级）以上执业资格，并具有有效的安全考核证书（建安B证），且无在建项目。</w:t>
      </w:r>
    </w:p>
    <w:p>
      <w:pPr>
        <w:pStyle w:val="null3"/>
      </w:pPr>
      <w:r>
        <w:rPr>
          <w:rFonts w:ascii="仿宋_GB2312" w:hAnsi="仿宋_GB2312" w:cs="仿宋_GB2312" w:eastAsia="仿宋_GB2312"/>
        </w:rPr>
        <w:t>4、供应商资格承诺函：供应商应按照汉中市财政局《关于全面推行政府采购供应商基本资格条件承诺制的通知》（汉采办采管〔2024〕20号）文件要求，提供资格承诺函。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汉中市南郑区阳春镇人民政府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汉中市南郑县阳春镇安坎村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汉中市南郑区阳春镇人民政府经办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0916-5679137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陕西省汉中市南郑区陕西省汉中市南郑区中所营街道办董家营村一组（董家营十字）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刘毅梅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18009160592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关于印发招标代理服务收费管理暂行办法的通知》（计价格〔2002〕1980号）和《关于招标代理服务收费有关问题的通知》（发改办价格〔2003〕857号）文件工程类项目招标代理服务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汉中市南郑区阳春镇人民政府</w:t>
      </w:r>
      <w:r>
        <w:rPr>
          <w:rFonts w:ascii="仿宋_GB2312" w:hAnsi="仿宋_GB2312" w:cs="仿宋_GB2312" w:eastAsia="仿宋_GB2312"/>
        </w:rPr>
        <w:t>和</w:t>
      </w:r>
      <w:r>
        <w:rPr>
          <w:rFonts w:ascii="仿宋_GB2312" w:hAnsi="仿宋_GB2312" w:cs="仿宋_GB2312" w:eastAsia="仿宋_GB2312"/>
        </w:rPr>
        <w:t>鹏泽项目管理有限公司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汉中市南郑区阳春镇人民政府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鹏泽项目管理有限公司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汉中市南郑区阳春镇人民政府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有供应商负责相关事宜，费用由供应商承担。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筑工程施工质量验收统一标准》GB50300-2013等相关质量验收规范要求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鹏泽项目管理有限公司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鹏泽项目管理有限公司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鹏泽项目管理有限公司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联系人：刘毅梅</w:t>
      </w:r>
    </w:p>
    <w:p>
      <w:pPr>
        <w:pStyle w:val="null3"/>
      </w:pPr>
      <w:r>
        <w:rPr>
          <w:rFonts w:ascii="仿宋_GB2312" w:hAnsi="仿宋_GB2312" w:cs="仿宋_GB2312" w:eastAsia="仿宋_GB2312"/>
        </w:rPr>
        <w:t>联系电话：18009160592</w:t>
      </w:r>
    </w:p>
    <w:p>
      <w:pPr>
        <w:pStyle w:val="null3"/>
      </w:pPr>
      <w:r>
        <w:rPr>
          <w:rFonts w:ascii="仿宋_GB2312" w:hAnsi="仿宋_GB2312" w:cs="仿宋_GB2312" w:eastAsia="仿宋_GB2312"/>
        </w:rPr>
        <w:t>地址：陕西省汉中市南郑区中所营街道办董家营村一组（董家营十字）</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1,570,000.00</w:t>
      </w:r>
    </w:p>
    <w:p>
      <w:pPr>
        <w:pStyle w:val="null3"/>
      </w:pPr>
      <w:r>
        <w:rPr>
          <w:rFonts w:ascii="仿宋_GB2312" w:hAnsi="仿宋_GB2312" w:cs="仿宋_GB2312" w:eastAsia="仿宋_GB2312"/>
        </w:rPr>
        <w:t>采购包最高限价（元）: 1,569,085.48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2026年南郑区阳春镇基础设施补短板项目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标的名称：2026年南郑区阳春镇基础设施补短板项目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工程质保期：2年</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工期要求：60日历天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质量要求：达到国家质量验收规范合格标准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《建设工程质量管理条例》、《建筑工程施工质量验收统一标准》。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市政公用工程施工总承包三级（含三级）以上资质，并取得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拟派项目负责人应具备市政公用工程专业二级（含二级）以上执业资格，并具有有效的安全考核证书（建安B证），且无在建项目。</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质量与工期</w:t>
            </w:r>
          </w:p>
        </w:tc>
        <w:tc>
          <w:tcPr>
            <w:tcW w:type="dxa" w:w="3322"/>
          </w:tcPr>
          <w:p>
            <w:pPr>
              <w:pStyle w:val="null3"/>
            </w:pPr>
            <w:r>
              <w:rPr>
                <w:rFonts w:ascii="仿宋_GB2312" w:hAnsi="仿宋_GB2312" w:cs="仿宋_GB2312" w:eastAsia="仿宋_GB2312"/>
              </w:rPr>
              <w:t>供应商承诺的质量与工期符合招标文件规定</w:t>
            </w:r>
          </w:p>
        </w:tc>
        <w:tc>
          <w:tcPr>
            <w:tcW w:type="dxa" w:w="1661"/>
          </w:tcPr>
          <w:p>
            <w:pPr>
              <w:pStyle w:val="null3"/>
            </w:pPr>
            <w:r>
              <w:rPr>
                <w:rFonts w:ascii="仿宋_GB2312" w:hAnsi="仿宋_GB2312" w:cs="仿宋_GB2312" w:eastAsia="仿宋_GB2312"/>
              </w:rPr>
              <w:t>标的清单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保证按时按质按量完成本项目。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从2023年1月1日至今（以合同签订时间为准）的同类规模项目类似业绩中标通知书或合同协议书），每提供1个类似业绩得2分，最多得6分，附类似业绩（中标通知书或合同协议书）加盖公章，未提供或不符合上述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项目管理机构配置</w:t>
            </w:r>
          </w:p>
        </w:tc>
        <w:tc>
          <w:tcPr>
            <w:tcW w:type="dxa" w:w="2492"/>
          </w:tcPr>
          <w:p>
            <w:pPr>
              <w:pStyle w:val="null3"/>
            </w:pPr>
            <w:r>
              <w:rPr>
                <w:rFonts w:ascii="仿宋_GB2312" w:hAnsi="仿宋_GB2312" w:cs="仿宋_GB2312" w:eastAsia="仿宋_GB2312"/>
              </w:rPr>
              <w:t>一、评审内容： 所配备项目技术负责人、施工员、质量员、安全员、材料员，具备相关专业技术职称或岗位证书。 二、评审标准： 全部满足得 10 分，每缺少一人或相应人员无证书、证件扣 2 分，扣完为止。 响应文件内附相应人员证书证件复印件并加盖公章。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1.职称：项目经理具有工程类中级及以上职称得 2 分； 2.业绩：项目经理有类似业绩（2023 年 1 月 1 日至今）一个得 1 分，最高得 2 分，以中标通知书或合同为准。 注：1.中标通知书或合同上应体现项目经理姓名，若未体现项目经理姓名，则应提供其他有效证明资料，相关证明材料包括但不限于相关网站中标公示截图等复印件并加盖公章。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供应商应针对本项目建设内容和相关技术要求编制机械设备及材料配备表，满分5分，每有一处内容存在缺陷，扣 0.5 分，扣完为止。备注：缺陷是指表内所列机械设备或材料与项目需求不匹配，脱离项目实际需要；未提供不得分。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项目重点难点分析及对策</w:t>
            </w:r>
          </w:p>
        </w:tc>
        <w:tc>
          <w:tcPr>
            <w:tcW w:type="dxa" w:w="2492"/>
          </w:tcPr>
          <w:p>
            <w:pPr>
              <w:pStyle w:val="null3"/>
            </w:pPr>
            <w:r>
              <w:rPr>
                <w:rFonts w:ascii="仿宋_GB2312" w:hAnsi="仿宋_GB2312" w:cs="仿宋_GB2312" w:eastAsia="仿宋_GB2312"/>
              </w:rPr>
              <w:t>供应商针对本项目的实际情况，对项目的重点难点分析并提出相应对策：包括但不限于①对项目实施重点、难点的分析、②合理化建议、③解决方案； 满分 6 分。每有一项缺项扣 2 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供应商应编制针对本项目的施工总体方案：包括但不限于①施工现场布置；②主要分部分项工程施工工艺；③施工质量控制措施；④季节性施工保障措施；⑤施工进度及安全文明管控方案 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项目目标</w:t>
            </w:r>
          </w:p>
        </w:tc>
        <w:tc>
          <w:tcPr>
            <w:tcW w:type="dxa" w:w="2492"/>
          </w:tcPr>
          <w:p>
            <w:pPr>
              <w:pStyle w:val="null3"/>
            </w:pPr>
            <w:r>
              <w:rPr>
                <w:rFonts w:ascii="仿宋_GB2312" w:hAnsi="仿宋_GB2312" w:cs="仿宋_GB2312" w:eastAsia="仿宋_GB2312"/>
              </w:rPr>
              <w:t>供应商应提出针对本项目的项目目标计划：包括但不限于①质量目标、 ②工期目标、③安全目标、④文明环保施工目标； 满分 8 分。每有一项缺项扣 2 分；每有一处内容存在缺陷，扣1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供应商应针对本项目编制施工组织计划：包括但不限于①施工进度计划及保障措施、②交叉作业的协调方案、③新技术、新工艺、新工法应用；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安全生产方案</w:t>
            </w:r>
          </w:p>
        </w:tc>
        <w:tc>
          <w:tcPr>
            <w:tcW w:type="dxa" w:w="2492"/>
          </w:tcPr>
          <w:p>
            <w:pPr>
              <w:pStyle w:val="null3"/>
            </w:pPr>
            <w:r>
              <w:rPr>
                <w:rFonts w:ascii="仿宋_GB2312" w:hAnsi="仿宋_GB2312" w:cs="仿宋_GB2312" w:eastAsia="仿宋_GB2312"/>
              </w:rPr>
              <w:t>供应商应针对本项目编制安全生产方案：包括但不限于①安全生产管理制度及安全管理组织机构；②安全隐患排查、整改制度；③应急保障预案等。 满分6分。每有一项缺项扣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