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版本号：TDZB-2026-201220260611001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健康体检服务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TDZB-2026-2012</w:t>
      </w:r>
      <w:r>
        <w:br/>
      </w:r>
      <w:r>
        <w:br/>
      </w:r>
      <w:r>
        <w:br/>
      </w:r>
    </w:p>
    <w:p>
      <w:pPr>
        <w:pStyle w:val="null3"/>
        <w:jc w:val="center"/>
        <w:outlineLvl w:val="2"/>
      </w:pPr>
      <w:r>
        <w:rPr>
          <w:rFonts w:ascii="仿宋_GB2312" w:hAnsi="仿宋_GB2312" w:cs="仿宋_GB2312" w:eastAsia="仿宋_GB2312"/>
          <w:sz w:val="28"/>
          <w:b/>
        </w:rPr>
        <w:t>西安市未央区人民法院[158]</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西安市未央区人民法院[158]</w:t>
      </w:r>
      <w:r>
        <w:rPr>
          <w:rFonts w:ascii="仿宋_GB2312" w:hAnsi="仿宋_GB2312" w:cs="仿宋_GB2312" w:eastAsia="仿宋_GB2312"/>
        </w:rPr>
        <w:t>委托，拟对</w:t>
      </w:r>
      <w:r>
        <w:rPr>
          <w:rFonts w:ascii="仿宋_GB2312" w:hAnsi="仿宋_GB2312" w:cs="仿宋_GB2312" w:eastAsia="仿宋_GB2312"/>
        </w:rPr>
        <w:t>健康体检服务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TDZB-2026-2012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健康体检服务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健康体检服务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1、供应商应具备《中华人民共和国政府采购法》第二十二条规定的条件：供应商需在项目电子化交易系统中按要求填写《响应函》完成承诺进行电子签章,并按附件格式要求提供相关资格证明材料。</w:t>
      </w:r>
    </w:p>
    <w:p>
      <w:pPr>
        <w:pStyle w:val="null3"/>
      </w:pPr>
      <w:r>
        <w:rPr>
          <w:rFonts w:ascii="仿宋_GB2312" w:hAnsi="仿宋_GB2312" w:cs="仿宋_GB2312" w:eastAsia="仿宋_GB2312"/>
        </w:rPr>
        <w:t>2、营业执照等主体资格证明文件：提供统一社会信用代码的营业执照或其他组织经营的合法凭证或自然人的提供身份证明文件。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3、财务状况报告：提供具有财务审计资质单位出具的2024或2025年度财务报告或磋商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4、社保缴纳证明：提交磋商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5、税收缴纳证明：提交磋商文件递交截止时间前一年内至少一个月的纳税证明或完税证明（增值税、营业税、企业所得税至少提供一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6、书面声明：1.出具履行合同所必需的设备和专业技术能力的书面声明； 2.出具参加政府采购活动前三年内无重大违法记录的书面声明； 3.出具供应商参加政府采购活动承诺书。</w:t>
      </w:r>
    </w:p>
    <w:p>
      <w:pPr>
        <w:pStyle w:val="null3"/>
      </w:pPr>
      <w:r>
        <w:rPr>
          <w:rFonts w:ascii="仿宋_GB2312" w:hAnsi="仿宋_GB2312" w:cs="仿宋_GB2312" w:eastAsia="仿宋_GB2312"/>
        </w:rPr>
        <w:t>7、法定代表人授权委托书：法定代表人参加磋商的，须提供法定代表人身份证明；法定代表人授权他人参加磋商的，须提供法定代表人授权委托书，被授权代表本单位证明：有效的劳动合同或磋商截止前六个月内任意一个月养老保险缴纳证明。（法人参加只需提供法定代表人身份证明）。</w:t>
      </w:r>
    </w:p>
    <w:p>
      <w:pPr>
        <w:pStyle w:val="null3"/>
      </w:pPr>
      <w:r>
        <w:rPr>
          <w:rFonts w:ascii="仿宋_GB2312" w:hAnsi="仿宋_GB2312" w:cs="仿宋_GB2312" w:eastAsia="仿宋_GB2312"/>
        </w:rPr>
        <w:t>8、信用记录：经查，供应商未被列入“信用中国”网站记录的“失信被执行人”或“重大税收违法失信主体”名单；不处于“中国政府采购网”记录的“政府采购严重违法失信行为记录名单”中的禁止参加政府采购活动期间。（不强制要求供应商提供查询截图，以开标当天查询结果为评审依据)</w:t>
      </w:r>
    </w:p>
    <w:p>
      <w:pPr>
        <w:pStyle w:val="null3"/>
      </w:pPr>
      <w:r>
        <w:rPr>
          <w:rFonts w:ascii="仿宋_GB2312" w:hAnsi="仿宋_GB2312" w:cs="仿宋_GB2312" w:eastAsia="仿宋_GB2312"/>
        </w:rPr>
        <w:t>9、行政许可证：供应商应具有卫生行政部门核准登记取得的《医疗机构执业许可证》和《放射诊疗许可证》</w:t>
      </w:r>
    </w:p>
    <w:p>
      <w:pPr>
        <w:pStyle w:val="null3"/>
      </w:pPr>
      <w:r>
        <w:rPr>
          <w:rFonts w:ascii="仿宋_GB2312" w:hAnsi="仿宋_GB2312" w:cs="仿宋_GB2312" w:eastAsia="仿宋_GB2312"/>
        </w:rPr>
        <w:t>10、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响应函》完成承诺并进行电子签章。</w:t>
      </w:r>
    </w:p>
    <w:p>
      <w:pPr>
        <w:pStyle w:val="null3"/>
      </w:pPr>
      <w:r>
        <w:rPr>
          <w:rFonts w:ascii="仿宋_GB2312" w:hAnsi="仿宋_GB2312" w:cs="仿宋_GB2312" w:eastAsia="仿宋_GB2312"/>
        </w:rPr>
        <w:t>11、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响应函》完成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西安市未央区人民法院[158]</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未央区浐灞大道2331号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西安市未央区明光路与北三环十字东北角中建财智广场5栋501室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申佩玉、朱小克、宁超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18729107315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采购包1：451,800.00元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招标代理服务收费管理暂行办法的通知》（计价格【2002】1980号）和国家发改委办公厅颁发的《关于招标代理服务收费有关问题的通知》（发改办价格【2003】857号）文件的通知标准收取。具体收费金额将在成交公告中公布。 采购代理服务费缴纳账户信息： 代理机构开户名称：腾德工程咨询有限公司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西安市未央区人民法院[158]</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西安市未央区人民法院[158]</w:t>
      </w:r>
      <w:r>
        <w:rPr>
          <w:rFonts w:ascii="仿宋_GB2312" w:hAnsi="仿宋_GB2312" w:cs="仿宋_GB2312" w:eastAsia="仿宋_GB2312"/>
        </w:rPr>
        <w:t>负责解释。除上述磋商文件内容，其他内容由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西安市未央区人民法院[158]</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联系人：朱经理</w:t>
      </w:r>
    </w:p>
    <w:p>
      <w:pPr>
        <w:pStyle w:val="null3"/>
      </w:pPr>
      <w:r>
        <w:rPr>
          <w:rFonts w:ascii="仿宋_GB2312" w:hAnsi="仿宋_GB2312" w:cs="仿宋_GB2312" w:eastAsia="仿宋_GB2312"/>
        </w:rPr>
        <w:t>联系电话：15029055783</w:t>
      </w:r>
    </w:p>
    <w:p>
      <w:pPr>
        <w:pStyle w:val="null3"/>
      </w:pPr>
      <w:r>
        <w:rPr>
          <w:rFonts w:ascii="仿宋_GB2312" w:hAnsi="仿宋_GB2312" w:cs="仿宋_GB2312" w:eastAsia="仿宋_GB2312"/>
        </w:rPr>
        <w:t>地址：西安市未央区明光路与北三环十字东北角中建财智广场5栋501室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健康体检服务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451,800.00</w:t>
      </w:r>
    </w:p>
    <w:p>
      <w:pPr>
        <w:pStyle w:val="null3"/>
      </w:pPr>
      <w:r>
        <w:rPr>
          <w:rFonts w:ascii="仿宋_GB2312" w:hAnsi="仿宋_GB2312" w:cs="仿宋_GB2312" w:eastAsia="仿宋_GB2312"/>
        </w:rPr>
        <w:t>采购包最高限价（元）: 451,800.00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健康体检服务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451,800.00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标的名称：健康体检服务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1.项目概况</w:t>
            </w:r>
          </w:p>
          <w:p>
            <w:pPr>
              <w:pStyle w:val="null3"/>
              <w:ind w:firstLine="422"/>
              <w:jc w:val="left"/>
            </w:pPr>
            <w:r>
              <w:rPr>
                <w:rFonts w:ascii="仿宋_GB2312" w:hAnsi="仿宋_GB2312" w:cs="仿宋_GB2312" w:eastAsia="仿宋_GB2312"/>
                <w:sz w:val="21"/>
                <w:b/>
              </w:rPr>
              <w:t>健康体检服务。</w:t>
            </w:r>
          </w:p>
          <w:p>
            <w:pPr>
              <w:pStyle w:val="null3"/>
              <w:ind w:firstLine="422"/>
              <w:jc w:val="left"/>
            </w:pPr>
            <w:r>
              <w:rPr>
                <w:rFonts w:ascii="仿宋_GB2312" w:hAnsi="仿宋_GB2312" w:cs="仿宋_GB2312" w:eastAsia="仿宋_GB2312"/>
                <w:sz w:val="21"/>
                <w:b/>
              </w:rPr>
              <w:t>本项目所属行业为其他未列明行业</w:t>
            </w:r>
          </w:p>
          <w:p>
            <w:pPr>
              <w:pStyle w:val="null3"/>
              <w:jc w:val="left"/>
            </w:pPr>
            <w:r>
              <w:rPr>
                <w:rFonts w:ascii="仿宋_GB2312" w:hAnsi="仿宋_GB2312" w:cs="仿宋_GB2312" w:eastAsia="仿宋_GB2312"/>
                <w:sz w:val="21"/>
                <w:b/>
              </w:rPr>
              <w:t>2.采购内容</w:t>
            </w:r>
          </w:p>
          <w:p>
            <w:pPr>
              <w:pStyle w:val="null3"/>
              <w:jc w:val="left"/>
            </w:pPr>
            <w:r>
              <w:rPr>
                <w:rFonts w:ascii="仿宋_GB2312" w:hAnsi="仿宋_GB2312" w:cs="仿宋_GB2312" w:eastAsia="仿宋_GB2312"/>
                <w:sz w:val="21"/>
                <w:b/>
              </w:rPr>
              <w:t>2.1服务要求</w:t>
            </w:r>
          </w:p>
          <w:p>
            <w:pPr>
              <w:pStyle w:val="null3"/>
              <w:ind w:firstLine="422"/>
              <w:jc w:val="left"/>
            </w:pPr>
            <w:r>
              <w:rPr>
                <w:rFonts w:ascii="仿宋_GB2312" w:hAnsi="仿宋_GB2312" w:cs="仿宋_GB2312" w:eastAsia="仿宋_GB2312"/>
                <w:sz w:val="21"/>
                <w:b/>
              </w:rPr>
              <w:t>2.1.1带有</w:t>
            </w:r>
            <w:r>
              <w:rPr>
                <w:rFonts w:ascii="仿宋_GB2312" w:hAnsi="仿宋_GB2312" w:cs="仿宋_GB2312" w:eastAsia="仿宋_GB2312"/>
                <w:sz w:val="21"/>
              </w:rPr>
              <w:t>★</w:t>
            </w:r>
            <w:r>
              <w:rPr>
                <w:rFonts w:ascii="仿宋_GB2312" w:hAnsi="仿宋_GB2312" w:cs="仿宋_GB2312" w:eastAsia="仿宋_GB2312"/>
                <w:sz w:val="21"/>
                <w:b/>
              </w:rPr>
              <w:t>号的条款为实质性条款不得有偏离。</w:t>
            </w:r>
          </w:p>
          <w:p>
            <w:pPr>
              <w:pStyle w:val="null3"/>
              <w:ind w:firstLine="422"/>
              <w:jc w:val="left"/>
            </w:pPr>
            <w:r>
              <w:rPr>
                <w:rFonts w:ascii="仿宋_GB2312" w:hAnsi="仿宋_GB2312" w:cs="仿宋_GB2312" w:eastAsia="仿宋_GB2312"/>
                <w:sz w:val="21"/>
                <w:b/>
              </w:rPr>
              <w:t>2.1.2下列产品为强制采购的节能产品（如有）：/</w:t>
            </w:r>
          </w:p>
          <w:p>
            <w:pPr>
              <w:pStyle w:val="null3"/>
              <w:ind w:firstLine="422"/>
              <w:jc w:val="left"/>
            </w:pPr>
            <w:r>
              <w:rPr>
                <w:rFonts w:ascii="仿宋_GB2312" w:hAnsi="仿宋_GB2312" w:cs="仿宋_GB2312" w:eastAsia="仿宋_GB2312"/>
                <w:sz w:val="21"/>
                <w:b/>
              </w:rPr>
              <w:t>2.1.3服务内容</w:t>
            </w:r>
          </w:p>
          <w:p>
            <w:pPr>
              <w:pStyle w:val="null3"/>
              <w:ind w:firstLine="420"/>
              <w:jc w:val="left"/>
            </w:pPr>
            <w:r>
              <w:rPr>
                <w:rFonts w:ascii="仿宋_GB2312" w:hAnsi="仿宋_GB2312" w:cs="仿宋_GB2312" w:eastAsia="仿宋_GB2312"/>
                <w:sz w:val="21"/>
              </w:rPr>
              <w:t>1、体检人数：</w:t>
            </w:r>
          </w:p>
          <w:p>
            <w:pPr>
              <w:pStyle w:val="null3"/>
              <w:ind w:firstLine="420"/>
              <w:jc w:val="left"/>
            </w:pPr>
            <w:r>
              <w:rPr>
                <w:rFonts w:ascii="仿宋_GB2312" w:hAnsi="仿宋_GB2312" w:cs="仿宋_GB2312" w:eastAsia="仿宋_GB2312"/>
                <w:sz w:val="21"/>
              </w:rPr>
              <w:t>套餐一：男</w:t>
            </w:r>
            <w:r>
              <w:rPr>
                <w:rFonts w:ascii="仿宋_GB2312" w:hAnsi="仿宋_GB2312" w:cs="仿宋_GB2312" w:eastAsia="仿宋_GB2312"/>
                <w:sz w:val="21"/>
              </w:rPr>
              <w:t>93人，女116人，共209人；</w:t>
            </w:r>
          </w:p>
          <w:p>
            <w:pPr>
              <w:pStyle w:val="null3"/>
              <w:ind w:firstLine="420"/>
              <w:jc w:val="left"/>
            </w:pPr>
            <w:r>
              <w:rPr>
                <w:rFonts w:ascii="仿宋_GB2312" w:hAnsi="仿宋_GB2312" w:cs="仿宋_GB2312" w:eastAsia="仿宋_GB2312"/>
                <w:sz w:val="21"/>
              </w:rPr>
              <w:t>套餐二：男</w:t>
            </w:r>
            <w:r>
              <w:rPr>
                <w:rFonts w:ascii="仿宋_GB2312" w:hAnsi="仿宋_GB2312" w:cs="仿宋_GB2312" w:eastAsia="仿宋_GB2312"/>
                <w:sz w:val="21"/>
              </w:rPr>
              <w:t>95人，女150人，共245人。</w:t>
            </w:r>
          </w:p>
          <w:p>
            <w:pPr>
              <w:pStyle w:val="null3"/>
              <w:ind w:firstLine="420"/>
              <w:jc w:val="left"/>
            </w:pPr>
            <w:r>
              <w:rPr>
                <w:rFonts w:ascii="仿宋_GB2312" w:hAnsi="仿宋_GB2312" w:cs="仿宋_GB2312" w:eastAsia="仿宋_GB2312"/>
                <w:sz w:val="21"/>
              </w:rPr>
              <w:t>2、职工根据工作情况在服务期限内自行前往体检服务点进行体检。</w:t>
            </w:r>
          </w:p>
          <w:p>
            <w:pPr>
              <w:pStyle w:val="null3"/>
              <w:ind w:firstLine="420"/>
              <w:jc w:val="left"/>
            </w:pPr>
            <w:r>
              <w:rPr>
                <w:rFonts w:ascii="仿宋_GB2312" w:hAnsi="仿宋_GB2312" w:cs="仿宋_GB2312" w:eastAsia="仿宋_GB2312"/>
                <w:sz w:val="21"/>
              </w:rPr>
              <w:t>3、供应商在响应文件中注明是否提供早餐、健康咨询等其他服务，如有，请在响应文件中一并列明。</w:t>
            </w:r>
          </w:p>
          <w:p>
            <w:pPr>
              <w:pStyle w:val="null3"/>
              <w:ind w:firstLine="210"/>
              <w:jc w:val="left"/>
            </w:pPr>
            <w:r>
              <w:rPr>
                <w:rFonts w:ascii="仿宋_GB2312" w:hAnsi="仿宋_GB2312" w:cs="仿宋_GB2312" w:eastAsia="仿宋_GB2312"/>
                <w:sz w:val="21"/>
              </w:rPr>
              <w:t>★4、体检套餐（“</w:t>
            </w:r>
            <w:r>
              <w:rPr>
                <w:rFonts w:ascii="仿宋_GB2312" w:hAnsi="仿宋_GB2312" w:cs="仿宋_GB2312" w:eastAsia="仿宋_GB2312"/>
                <w:sz w:val="20"/>
              </w:rPr>
              <w:t>√</w:t>
            </w:r>
            <w:r>
              <w:rPr>
                <w:rFonts w:ascii="仿宋_GB2312" w:hAnsi="仿宋_GB2312" w:cs="仿宋_GB2312" w:eastAsia="仿宋_GB2312"/>
                <w:sz w:val="21"/>
              </w:rPr>
              <w:t>”表示该套餐中包含此项，“</w:t>
            </w:r>
            <w:r>
              <w:rPr>
                <w:rFonts w:ascii="仿宋_GB2312" w:hAnsi="仿宋_GB2312" w:cs="仿宋_GB2312" w:eastAsia="仿宋_GB2312"/>
                <w:sz w:val="20"/>
              </w:rPr>
              <w:t>×</w:t>
            </w:r>
            <w:r>
              <w:rPr>
                <w:rFonts w:ascii="仿宋_GB2312" w:hAnsi="仿宋_GB2312" w:cs="仿宋_GB2312" w:eastAsia="仿宋_GB2312"/>
                <w:sz w:val="21"/>
              </w:rPr>
              <w:t>”表示该套餐中不包含此项），</w:t>
            </w:r>
            <w:r>
              <w:rPr>
                <w:rFonts w:ascii="仿宋_GB2312" w:hAnsi="仿宋_GB2312" w:cs="仿宋_GB2312" w:eastAsia="仿宋_GB2312"/>
                <w:sz w:val="21"/>
              </w:rPr>
              <w:t>根据体检人员需求可等价置换体检项目。</w:t>
            </w:r>
          </w:p>
          <w:p>
            <w:pPr>
              <w:pStyle w:val="null3"/>
              <w:ind w:firstLine="422"/>
              <w:jc w:val="left"/>
            </w:pPr>
            <w:r>
              <w:rPr>
                <w:rFonts w:ascii="仿宋_GB2312" w:hAnsi="仿宋_GB2312" w:cs="仿宋_GB2312" w:eastAsia="仿宋_GB2312"/>
                <w:sz w:val="21"/>
                <w:b/>
                <w:color w:val="000000"/>
              </w:rPr>
              <w:t>套餐一：</w:t>
            </w:r>
          </w:p>
          <w:tbl>
            <w:tblPr>
              <w:tblBorders>
                <w:top w:val="none" w:color="000000" w:sz="4"/>
                <w:left w:val="none" w:color="000000" w:sz="4"/>
                <w:bottom w:val="none" w:color="000000" w:sz="4"/>
                <w:right w:val="none" w:color="000000" w:sz="4"/>
                <w:insideH w:val="none"/>
                <w:insideV w:val="none"/>
              </w:tblBorders>
            </w:tblPr>
            <w:tblGrid>
              <w:gridCol w:w="393"/>
              <w:gridCol w:w="1702"/>
              <w:gridCol w:w="458"/>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项目名称</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男、女</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心血管套餐</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一般情况、报告总检、报告出具、相关耗材</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64层及以上螺旋CT冠脉成像</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碘克沙醇注射液</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血管造影及灌注</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空腹血糖</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甲功五项</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电解质四项</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心梗三项</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肾功三项</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心电图</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心脏彩超</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颈椎正侧位</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腰椎正侧位</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pPr>
              <w:pStyle w:val="null3"/>
              <w:jc w:val="left"/>
            </w:pPr>
            <w:r>
              <w:rPr>
                <w:rFonts w:ascii="仿宋_GB2312" w:hAnsi="仿宋_GB2312" w:cs="仿宋_GB2312" w:eastAsia="仿宋_GB2312"/>
                <w:sz w:val="22"/>
                <w:b/>
                <w:color w:val="000000"/>
              </w:rPr>
              <w:t>套餐二：</w:t>
            </w:r>
          </w:p>
          <w:tbl>
            <w:tblPr>
              <w:tblBorders>
                <w:top w:val="none" w:color="000000" w:sz="4"/>
                <w:left w:val="none" w:color="000000" w:sz="4"/>
                <w:bottom w:val="none" w:color="000000" w:sz="4"/>
                <w:right w:val="none" w:color="000000" w:sz="4"/>
                <w:insideH w:val="none"/>
                <w:insideV w:val="none"/>
              </w:tblBorders>
            </w:tblPr>
            <w:tblGrid>
              <w:gridCol w:w="357"/>
              <w:gridCol w:w="1267"/>
              <w:gridCol w:w="467"/>
              <w:gridCol w:w="462"/>
            </w:tblGrid>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男</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女</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一般情况、报告总检、报告出具、相关耗材</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血常规</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尿常规</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肝功六项</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肾功四项</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血脂四项</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血糖</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癌胚抗原（</w:t>
                  </w:r>
                  <w:r>
                    <w:rPr>
                      <w:rFonts w:ascii="仿宋_GB2312" w:hAnsi="仿宋_GB2312" w:cs="仿宋_GB2312" w:eastAsia="仿宋_GB2312"/>
                      <w:sz w:val="21"/>
                      <w:color w:val="000000"/>
                    </w:rPr>
                    <w:t>CEA）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甲胎蛋白（</w:t>
                  </w:r>
                  <w:r>
                    <w:rPr>
                      <w:rFonts w:ascii="仿宋_GB2312" w:hAnsi="仿宋_GB2312" w:cs="仿宋_GB2312" w:eastAsia="仿宋_GB2312"/>
                      <w:sz w:val="21"/>
                      <w:color w:val="000000"/>
                    </w:rPr>
                    <w:t>AFP）</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TPSA前列腺特异抗原</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胃幽门螺杆菌（</w:t>
                  </w:r>
                  <w:r>
                    <w:rPr>
                      <w:rFonts w:ascii="仿宋_GB2312" w:hAnsi="仿宋_GB2312" w:cs="仿宋_GB2312" w:eastAsia="仿宋_GB2312"/>
                      <w:sz w:val="21"/>
                      <w:color w:val="000000"/>
                    </w:rPr>
                    <w:t>C13）</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腹部彩超</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泌尿系彩超</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乳腺彩超</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妇科彩超（子宫、双附件）</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甲状腺彩超</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心电图</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胸部</w:t>
                  </w:r>
                  <w:r>
                    <w:rPr>
                      <w:rFonts w:ascii="仿宋_GB2312" w:hAnsi="仿宋_GB2312" w:cs="仿宋_GB2312" w:eastAsia="仿宋_GB2312"/>
                      <w:sz w:val="21"/>
                      <w:color w:val="000000"/>
                    </w:rPr>
                    <w:t>CT</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pPr>
              <w:pStyle w:val="null3"/>
              <w:jc w:val="left"/>
            </w:pPr>
            <w:r>
              <w:rPr>
                <w:rFonts w:ascii="仿宋_GB2312" w:hAnsi="仿宋_GB2312" w:cs="仿宋_GB2312" w:eastAsia="仿宋_GB2312"/>
                <w:sz w:val="21"/>
              </w:rPr>
              <w:t>2.1.4服务、产品（如有）执行的标准、规范：</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1）国家标准、规范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2）行业标准、规范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3）地方标准、规范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4）团体标准、规范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5）企业标准、规范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2.1.5本章2.1.4条款未明确服务（产品）执行标准、规范的，按下列方法进行选择：</w:t>
            </w:r>
          </w:p>
          <w:p>
            <w:pPr>
              <w:pStyle w:val="null3"/>
              <w:ind w:firstLine="420"/>
              <w:jc w:val="left"/>
            </w:pPr>
            <w:r>
              <w:rPr>
                <w:rFonts w:ascii="仿宋_GB2312" w:hAnsi="仿宋_GB2312" w:cs="仿宋_GB2312" w:eastAsia="仿宋_GB2312"/>
                <w:sz w:val="21"/>
              </w:rPr>
              <w:t>□ 顺序执行：国家标准→行业标准→地方标准→团体标准→企业标准（有国家标准按国家标准执行，没有国家标准按行业标准，以此类推）；</w:t>
            </w:r>
          </w:p>
          <w:p>
            <w:pPr>
              <w:pStyle w:val="null3"/>
              <w:ind w:firstLine="420"/>
              <w:jc w:val="left"/>
            </w:pPr>
            <w:r>
              <w:rPr>
                <w:rFonts w:ascii="仿宋_GB2312" w:hAnsi="仿宋_GB2312" w:cs="仿宋_GB2312" w:eastAsia="仿宋_GB2312"/>
                <w:sz w:val="21"/>
              </w:rPr>
              <w:t>□ 最高标准执行：国家标准，行业标准，地方标准，团体标准，企业标准（那个标准高执行那个标准）</w:t>
            </w:r>
          </w:p>
          <w:p>
            <w:pPr>
              <w:pStyle w:val="null3"/>
              <w:ind w:firstLine="420"/>
              <w:jc w:val="left"/>
            </w:pPr>
            <w:r>
              <w:rPr>
                <w:rFonts w:ascii="仿宋_GB2312" w:hAnsi="仿宋_GB2312" w:cs="仿宋_GB2312" w:eastAsia="仿宋_GB2312"/>
                <w:sz w:val="21"/>
              </w:rPr>
              <w:t>√必须执行：国家（行业）强制性标准。</w:t>
            </w:r>
          </w:p>
          <w:p>
            <w:pPr>
              <w:pStyle w:val="null3"/>
              <w:jc w:val="left"/>
            </w:pPr>
            <w:r>
              <w:rPr>
                <w:rFonts w:ascii="仿宋_GB2312" w:hAnsi="仿宋_GB2312" w:cs="仿宋_GB2312" w:eastAsia="仿宋_GB2312"/>
                <w:sz w:val="21"/>
                <w:b/>
              </w:rPr>
              <w:t>2.2商务要求</w:t>
            </w:r>
          </w:p>
          <w:p>
            <w:pPr>
              <w:pStyle w:val="null3"/>
              <w:ind w:firstLine="422"/>
              <w:jc w:val="left"/>
            </w:pPr>
            <w:r>
              <w:rPr>
                <w:rFonts w:ascii="仿宋_GB2312" w:hAnsi="仿宋_GB2312" w:cs="仿宋_GB2312" w:eastAsia="仿宋_GB2312"/>
                <w:sz w:val="21"/>
                <w:b/>
              </w:rPr>
              <w:t>2.2.1带有★号的商务要求为实质性条款不得有偏差。</w:t>
            </w:r>
          </w:p>
          <w:p>
            <w:pPr>
              <w:pStyle w:val="null3"/>
            </w:pPr>
            <w:r>
              <w:rPr>
                <w:rFonts w:ascii="仿宋_GB2312" w:hAnsi="仿宋_GB2312" w:cs="仿宋_GB2312" w:eastAsia="仿宋_GB2312"/>
                <w:sz w:val="21"/>
                <w:b/>
              </w:rPr>
              <w:t xml:space="preserve">  ★2.2.2服务期限：</w:t>
            </w:r>
            <w:r>
              <w:rPr>
                <w:rFonts w:ascii="仿宋_GB2312" w:hAnsi="仿宋_GB2312" w:cs="仿宋_GB2312" w:eastAsia="仿宋_GB2312"/>
                <w:sz w:val="21"/>
                <w:b/>
              </w:rPr>
              <w:t>自合同签订之日起至</w:t>
            </w:r>
            <w:r>
              <w:rPr>
                <w:rFonts w:ascii="仿宋_GB2312" w:hAnsi="仿宋_GB2312" w:cs="仿宋_GB2312" w:eastAsia="仿宋_GB2312"/>
                <w:sz w:val="21"/>
                <w:b/>
              </w:rPr>
              <w:t>2026年12月31日止</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医师团队人员符合项目需求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拟投入的设备满足体检服务要求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达到国家（行业）强制性标准。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供应商的磋商报价是供应商响应磋商项目要求的全部工作内容的价格体现，包括供应商完成本项目所需的直接费、间接费、利润、税金及其它相关的一切费用。在提供服务的过程中的任何遗漏，均由成交供应商承担，采购人将不再支付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供应商需在项目电子化交易系统中按要求填写《响应函》完成承诺进行电子签章,并按附件格式要求提供相关资格证明材料。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提供具有财务审计资质单位出具的2024或2025年度财务报告或磋商前六个月内其基本账户银行出具的资信证明或财政部门认可的政府采购专业担保机构出具的担保函，以上形式的证明资料提供任何一种即可。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供应商需在项目电子化交易系统中按要求填写《响应函》完成承诺进行电子签章,并按附件格式要求提供相关资格证明材料。</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提供具有财务审计资质单位出具的2024或2025年度财务报告或磋商前六个月内其基本账户银行出具的资信证明或财政部门认可的政府采购专业担保机构出具的担保函，以上形式的证明资料提供任何一种即可。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磋商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磋商文件递交截止时间前一年内至少一个月的纳税证明或完税证明（增值税、营业税、企业所得税至少提供一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2.出具参加政府采购活动前三年内无重大违法记录的书面声明； 3.出具供应商参加政府采购活动承诺书。</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法定代表人授权他人参加磋商的，须提供法定代表人授权委托书，被授权代表本单位证明：有效的劳动合同或磋商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行政许可证</w:t>
            </w:r>
          </w:p>
        </w:tc>
        <w:tc>
          <w:tcPr>
            <w:tcW w:type="dxa" w:w="3322"/>
          </w:tcPr>
          <w:p>
            <w:pPr>
              <w:pStyle w:val="null3"/>
            </w:pPr>
            <w:r>
              <w:rPr>
                <w:rFonts w:ascii="仿宋_GB2312" w:hAnsi="仿宋_GB2312" w:cs="仿宋_GB2312" w:eastAsia="仿宋_GB2312"/>
              </w:rPr>
              <w:t>供应商应具有卫生行政部门核准登记取得的《医疗机构执业许可证》和《放射诊疗许可证》</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提供2024年01月01日至今同类项目业绩（以合同或中标/成交通知书签订日期为准），附中标/成交通知书或合同复印件并加盖供应商公章，每提供一份得2.5分，满分10分。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业绩证明材料</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针对本项目提供体检报告及保密措施，包括但不限于①参检人员所有信息数据保密方案；②体检结果保密措施。 二、评审标准 1、完善性：方案必须全面，对评审内容中的各项要求有详细阐述； 2、可实施性：切合本项目实际情况，提出步骤清晰、合理的方案； 3、针对性：方案能够紧扣项目实际情况，内容科学合理。 三、赋分依据（满分12分） ①参检人员所有信息数据保密方案：完全满足评审标准得6分，每有一项不满足扣2分，扣完为止； ②体检结果保密措施：完全满足评审标准得6分，每有一项不满足扣2分，扣完为止。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专业意见及治疗方案</w:t>
            </w:r>
          </w:p>
        </w:tc>
        <w:tc>
          <w:tcPr>
            <w:tcW w:type="dxa" w:w="2492"/>
          </w:tcPr>
          <w:p>
            <w:pPr>
              <w:pStyle w:val="null3"/>
            </w:pPr>
            <w:r>
              <w:rPr>
                <w:rFonts w:ascii="仿宋_GB2312" w:hAnsi="仿宋_GB2312" w:cs="仿宋_GB2312" w:eastAsia="仿宋_GB2312"/>
              </w:rPr>
              <w:t>一、评审内容 供应商可根据体检报告中出现的异常指标出具详细的①专业意见②治疗方案。 二、评审标准 1、完善性：方案必须全面，对评审内容中的各项要求有详细阐述； 2、可实施性：切合本项目实际情况，提出步骤清晰、合理的方案； 3、针对性：方案能够紧扣项目实际情况，内容科学合理。 三、赋分依据（满分12分） ①专业意见：完全满足评审标准得6分，每有一项不满足扣2分，扣完为止； ②治疗方案：完全满足评审标准得6分，每有一项不满足扣2分，扣完为止。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健康延伸服务</w:t>
            </w:r>
          </w:p>
        </w:tc>
        <w:tc>
          <w:tcPr>
            <w:tcW w:type="dxa" w:w="2492"/>
          </w:tcPr>
          <w:p>
            <w:pPr>
              <w:pStyle w:val="null3"/>
            </w:pPr>
            <w:r>
              <w:rPr>
                <w:rFonts w:ascii="仿宋_GB2312" w:hAnsi="仿宋_GB2312" w:cs="仿宋_GB2312" w:eastAsia="仿宋_GB2312"/>
              </w:rPr>
              <w:t>一、评审内容 供应商能够提供后续的绿色就医通道，必要时可提供导医导诊等需求，健康讲座及绿色就医服务。 二、评审标准 1、完善性：方案必须全面，对评审内容中的各项要求有详细阐述； 2、可实施性：切合本项目实际情况，提出步骤清晰、合理的方案； 3、针对性：方案能够紧扣项目实际情况，内容科学合理。 三、赋分依据（满分6分） 提供后续的绿色就医通道，必要时可提供导医导诊等需求，健康讲座及绿色就医服务：完全满足评审标准得6分，每有一项不满足扣2分，扣完为止。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其他服务</w:t>
            </w:r>
          </w:p>
        </w:tc>
        <w:tc>
          <w:tcPr>
            <w:tcW w:type="dxa" w:w="2492"/>
          </w:tcPr>
          <w:p>
            <w:pPr>
              <w:pStyle w:val="null3"/>
            </w:pPr>
            <w:r>
              <w:rPr>
                <w:rFonts w:ascii="仿宋_GB2312" w:hAnsi="仿宋_GB2312" w:cs="仿宋_GB2312" w:eastAsia="仿宋_GB2312"/>
              </w:rPr>
              <w:t>一、评审内容 为体检人员提供早餐、健康咨询等其他服务。 二、评审标准 1、完善性：方案必须全面，对评审内容中的各项要求有详细阐述； 2、可实施性：切合本项目实际情况，提出步骤清晰、合理的方案； 3、针对性：方案能够紧扣项目实际情况，内容科学合理。三、赋分依据（满分3分） 提供早餐、健康咨询等其他服务：完全满足评审标准得3分，每有一项不满足扣1分，扣完为止。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体检信息化服务</w:t>
            </w:r>
          </w:p>
        </w:tc>
        <w:tc>
          <w:tcPr>
            <w:tcW w:type="dxa" w:w="2492"/>
          </w:tcPr>
          <w:p>
            <w:pPr>
              <w:pStyle w:val="null3"/>
            </w:pPr>
            <w:r>
              <w:rPr>
                <w:rFonts w:ascii="仿宋_GB2312" w:hAnsi="仿宋_GB2312" w:cs="仿宋_GB2312" w:eastAsia="仿宋_GB2312"/>
              </w:rPr>
              <w:t>一、评审内容 在检前、检中、检后全程提供智能化的体检信息服务，如电子信息录入系统、智能导检系统、智能叫号系统、健康档案管理系统、在线查询体检报告等系统服务。 二、评审标准 1、完善性：方案必须全面，对评审内容中的各项要求有详细阐述； 2、可实施性：切合本项目实际情况，提出步骤清晰、合理的方案； 3、针对性：方案能够紧扣项目实际情况，内容科学合理。三、赋分依据（满分6分） 提供检前、检中、检后全程提供智能化的体检信息服务，如电子信息录入系统、智能导检系统、智能叫号系统、健康档案管理系统、在线查询体检报告等系统服务：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体检场地</w:t>
            </w:r>
          </w:p>
        </w:tc>
        <w:tc>
          <w:tcPr>
            <w:tcW w:type="dxa" w:w="2492"/>
          </w:tcPr>
          <w:p>
            <w:pPr>
              <w:pStyle w:val="null3"/>
            </w:pPr>
            <w:r>
              <w:rPr>
                <w:rFonts w:ascii="仿宋_GB2312" w:hAnsi="仿宋_GB2312" w:cs="仿宋_GB2312" w:eastAsia="仿宋_GB2312"/>
              </w:rPr>
              <w:t>一、评审内容 供应商在本地有体检服务点，包括但不限于①具备独立的体检场所、具体地址、交通便利情况（公交或地铁换乘方便）、面积、环境；②体检中心设有独立的妇科检查区域，人性化的女性专属通道，查体男女分区等服务。 二、评审标准 1、完善性：方案必须全面，对评审内容中的各项要求有详细阐述； 2、可实施性：切合本项目实际情况，提出步骤清晰、合理的方案； 3、针对性：方案能够紧扣项目实际情况，内容科学合理。 三、赋分依据（满分9分） ①具备独立的体检场所、具体地址、交通便利情况（公交或地铁换乘方便）、面积、环境:完全满足评审标准得3分，每有一项不满足扣1分，扣完为止； ②体检中心设有独立的妇科检查区域，人性化的女性专属通道，查体男女分区等服务:完全满足评审标准得6分，每有一项不满足扣2分，扣完为止。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体检设备</w:t>
            </w:r>
          </w:p>
        </w:tc>
        <w:tc>
          <w:tcPr>
            <w:tcW w:type="dxa" w:w="2492"/>
          </w:tcPr>
          <w:p>
            <w:pPr>
              <w:pStyle w:val="null3"/>
            </w:pPr>
            <w:r>
              <w:rPr>
                <w:rFonts w:ascii="仿宋_GB2312" w:hAnsi="仿宋_GB2312" w:cs="仿宋_GB2312" w:eastAsia="仿宋_GB2312"/>
              </w:rPr>
              <w:t>一、评审内容 供应商须提供在本项目实施过程中所必须的检测仪器、试剂耗材等设备设施清单。 二、评审标准 1、清单完善性：设备清单完善，对设备参数有详细阐述； 2、设备先进性：提供相关证明资料； 3、检测的准确性：提供相关证明资料。 三、赋分依据（满分9分） 提供在本项目实施过程中所必须的检测仪器、试剂耗材等设备设施清单：完全满足评审标准得9分，每有一项不满足扣3分，扣完为止。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供应商须提供针对本项目的应急处理措施及解决方案（包括体检者因血糖、血压引起的身体不适或其他的应对处理、供应商仪器故障或因其他人力不可抗拒因素，导致未能按时出具检测报告的补救措施等）。 二、评审标准 1、完善性：方案必须全面，对评审内容中的各项要求有详细阐述； 2、可实施性：切合本项目实际情况，提出步骤清晰、合理的方案； 3、针对性：方案能够紧扣项目实际情况，内容科学合理。 三、赋分依据（满分6分） 提供针对本项目的应急处理措施及解决方案（包括体检者因血糖、血压引起的身体不适或其他的应对处理、供应商仪器故障或因其他人力不可抗拒因素，导致未能按时出具检测报告的补救措施等）: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 供应商针对本项目提供专业的服务团队①人员岗位设置提供体检医生组成情况简介(在职证明、执业资格证、职称等证明材料)；②人员专业能力（检查团队中级及以上专业技术职务任职资格的职业医师或技师配备充足）。 二、评审标准 1、完善性：方案必须全面，对评审内容中的各项要求有详细阐述； 2、可实施性：切合本项目实际情况，提出步骤清晰、合理的方案； 3、针对性：方案能够紧扣项目实际情况，内容科学合理。 三、赋分依据（满分12分） ①人员岗位设置提供体检医生组成情况简介(在职证明、执业资格证、职称等证明材料):完全满足评审标准得6分，每有一项不满足扣2分，扣完为止； ②人员专业能力（检查团队中级及以上专业技术职务任职资格的职业医师或技师配备充足）:完全满足评审标准得6分，每有一项不满足扣2分，扣完为止。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满足磋商文件要求,以本次最低有效磋商报价为基准价，其价格分为满分。报价得分=（评审基准价／磋商报价）×15%×100。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