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版本号：SCZA2026-ZB-1584-00120260708001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镇巴县中小学校教学设施提升项目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SCZA2026-ZB-1584-001</w:t>
      </w:r>
      <w:r>
        <w:br/>
      </w:r>
      <w:r>
        <w:br/>
      </w:r>
      <w:r>
        <w:br/>
      </w:r>
    </w:p>
    <w:p>
      <w:pPr>
        <w:pStyle w:val="null3"/>
        <w:jc w:val="center"/>
        <w:outlineLvl w:val="2"/>
      </w:pPr>
      <w:r>
        <w:rPr>
          <w:rFonts w:ascii="仿宋_GB2312" w:hAnsi="仿宋_GB2312" w:cs="仿宋_GB2312" w:eastAsia="仿宋_GB2312"/>
          <w:sz w:val="28"/>
          <w:b/>
        </w:rPr>
        <w:t>镇巴县教育体育局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镇巴县教育体育局</w:t>
      </w:r>
      <w:r>
        <w:rPr>
          <w:rFonts w:ascii="仿宋_GB2312" w:hAnsi="仿宋_GB2312" w:cs="仿宋_GB2312" w:eastAsia="仿宋_GB2312"/>
        </w:rPr>
        <w:t>委托，拟对</w:t>
      </w:r>
      <w:r>
        <w:rPr>
          <w:rFonts w:ascii="仿宋_GB2312" w:hAnsi="仿宋_GB2312" w:cs="仿宋_GB2312" w:eastAsia="仿宋_GB2312"/>
        </w:rPr>
        <w:t>镇巴县中小学校教学设施提升项目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SCZA2026-ZB-1584-001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镇巴县中小学校教学设施提升项目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为进一步改善或提升全县中小学校信息化教学设备，决定面向全县中小学校采购一批智慧黑板(一体机)，涉及学校28所，教室129间、共采购129套。</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投标人在递交投标文件截止时间前被“信用中国”网站（www.creditchina.gov.cn）和中国政府采购网（www.ccgp.gov.cn）上被列入失信被执行人、重大税收违法失信主体、政府采购严重违法失信行为记录名单的，不得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汉中市镇巴县泾洋街道办新街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0916-6715680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开户银行：中国银行西安雁塔支行营业部</w:t>
            </w:r>
          </w:p>
          <w:p>
            <w:pPr>
              <w:pStyle w:val="null3"/>
            </w:pPr>
            <w:r>
              <w:rPr>
                <w:rFonts w:ascii="仿宋_GB2312" w:hAnsi="仿宋_GB2312" w:cs="仿宋_GB2312" w:eastAsia="仿宋_GB2312"/>
              </w:rPr>
              <w:t>银行账号：102060079782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供应商在领取中标通知书前，须向采购代理机构支付成交服务费，服务费由采购人与采购代理机构约定：（参照原国家计委计价格〔2002〕1980号文和发改办价格〔2003〕857号文的计算方法按标准（按标段）收取。2.中标单位的代理服务费交纳信息银行户名：陕西省采购招标有限责任公司开户银行：中国光大银行西安友谊路支行账号：78560188000095264联系人：张婕；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镇巴县教育体育局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以招标文件及签订的合同为准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为进一步改善或提升全县中小学校信息化教学设备，决定面向全县中小学校采购一批智慧黑板(一体机)，涉及学校28所，教室129间、共采购129套。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2,580,000.00</w:t>
      </w:r>
    </w:p>
    <w:p>
      <w:pPr>
        <w:pStyle w:val="null3"/>
      </w:pPr>
      <w:r>
        <w:rPr>
          <w:rFonts w:ascii="仿宋_GB2312" w:hAnsi="仿宋_GB2312" w:cs="仿宋_GB2312" w:eastAsia="仿宋_GB2312"/>
        </w:rPr>
        <w:t>采购包最高限价（元）: 2,580,000.00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中小学校教学设施提升项目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2,580,000.00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标的名称：中小学校教学设施提升项目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1"/>
              <w:gridCol w:w="263"/>
              <w:gridCol w:w="1705"/>
              <w:gridCol w:w="195"/>
              <w:gridCol w:w="170"/>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采购</w:t>
                  </w:r>
                </w:p>
                <w:p>
                  <w:pPr>
                    <w:pStyle w:val="null3"/>
                    <w:jc w:val="center"/>
                  </w:pPr>
                  <w:r>
                    <w:rPr>
                      <w:rFonts w:ascii="仿宋_GB2312" w:hAnsi="仿宋_GB2312" w:cs="仿宋_GB2312" w:eastAsia="仿宋_GB2312"/>
                      <w:sz w:val="21"/>
                      <w:b/>
                      <w:color w:val="000000"/>
                    </w:rPr>
                    <w:t>内容</w:t>
                  </w:r>
                </w:p>
              </w:tc>
              <w:tc>
                <w:tcPr>
                  <w:tcW w:type="dxa" w:w="1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技术要求</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数量</w:t>
                  </w:r>
                </w:p>
              </w:tc>
              <w:tc>
                <w:tcPr>
                  <w:tcW w:type="dxa" w:w="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单位</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智慧</w:t>
                  </w:r>
                </w:p>
                <w:p>
                  <w:pPr>
                    <w:pStyle w:val="null3"/>
                    <w:jc w:val="center"/>
                  </w:pPr>
                  <w:r>
                    <w:rPr>
                      <w:rFonts w:ascii="仿宋_GB2312" w:hAnsi="仿宋_GB2312" w:cs="仿宋_GB2312" w:eastAsia="仿宋_GB2312"/>
                      <w:sz w:val="21"/>
                      <w:color w:val="000000"/>
                    </w:rPr>
                    <w:t>黑板</w:t>
                  </w:r>
                </w:p>
                <w:p>
                  <w:pPr>
                    <w:pStyle w:val="null3"/>
                    <w:jc w:val="center"/>
                  </w:pPr>
                  <w:r>
                    <w:rPr>
                      <w:rFonts w:ascii="仿宋_GB2312" w:hAnsi="仿宋_GB2312" w:cs="仿宋_GB2312" w:eastAsia="仿宋_GB2312"/>
                      <w:sz w:val="21"/>
                      <w:color w:val="000000"/>
                    </w:rPr>
                    <w:t>（</w:t>
                  </w:r>
                  <w:r>
                    <w:rPr>
                      <w:rFonts w:ascii="仿宋_GB2312" w:hAnsi="仿宋_GB2312" w:cs="仿宋_GB2312" w:eastAsia="仿宋_GB2312"/>
                      <w:sz w:val="21"/>
                      <w:color w:val="000000"/>
                    </w:rPr>
                    <w:t>核心产品</w:t>
                  </w:r>
                  <w:r>
                    <w:rPr>
                      <w:rFonts w:ascii="仿宋_GB2312" w:hAnsi="仿宋_GB2312" w:cs="仿宋_GB2312" w:eastAsia="仿宋_GB2312"/>
                      <w:sz w:val="21"/>
                      <w:color w:val="000000"/>
                    </w:rPr>
                    <w:t>）</w:t>
                  </w:r>
                </w:p>
              </w:tc>
              <w:tc>
                <w:tcPr>
                  <w:tcW w:type="dxa" w:w="1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第一部分：主体部分</w:t>
                  </w:r>
                </w:p>
                <w:p>
                  <w:pPr>
                    <w:pStyle w:val="null3"/>
                    <w:ind w:firstLine="422"/>
                    <w:jc w:val="both"/>
                  </w:pPr>
                  <w:r>
                    <w:rPr>
                      <w:rFonts w:ascii="仿宋_GB2312" w:hAnsi="仿宋_GB2312" w:cs="仿宋_GB2312" w:eastAsia="仿宋_GB2312"/>
                      <w:sz w:val="21"/>
                      <w:b/>
                      <w:color w:val="000000"/>
                    </w:rPr>
                    <w:t>一、整体设计</w:t>
                  </w:r>
                </w:p>
                <w:p>
                  <w:pPr>
                    <w:pStyle w:val="null3"/>
                    <w:ind w:firstLine="420"/>
                    <w:jc w:val="both"/>
                  </w:pPr>
                  <w:r>
                    <w:rPr>
                      <w:rFonts w:ascii="仿宋_GB2312" w:hAnsi="仿宋_GB2312" w:cs="仿宋_GB2312" w:eastAsia="仿宋_GB2312"/>
                      <w:sz w:val="21"/>
                      <w:color w:val="000000"/>
                    </w:rPr>
                    <w:t xml:space="preserve">1. </w:t>
                  </w:r>
                  <w:r>
                    <w:rPr>
                      <w:rFonts w:ascii="仿宋_GB2312" w:hAnsi="仿宋_GB2312" w:cs="仿宋_GB2312" w:eastAsia="仿宋_GB2312"/>
                      <w:sz w:val="21"/>
                      <w:color w:val="000000"/>
                    </w:rPr>
                    <w:t>★</w:t>
                  </w:r>
                  <w:r>
                    <w:rPr>
                      <w:rFonts w:ascii="仿宋_GB2312" w:hAnsi="仿宋_GB2312" w:cs="仿宋_GB2312" w:eastAsia="仿宋_GB2312"/>
                      <w:sz w:val="21"/>
                      <w:color w:val="000000"/>
                    </w:rPr>
                    <w:t>整机采用三拼接平面一体化设计，主屏外观尺寸</w:t>
                  </w:r>
                  <w:r>
                    <w:rPr>
                      <w:rFonts w:ascii="仿宋_GB2312" w:hAnsi="仿宋_GB2312" w:cs="仿宋_GB2312" w:eastAsia="仿宋_GB2312"/>
                      <w:sz w:val="21"/>
                      <w:color w:val="000000"/>
                    </w:rPr>
                    <w:t>≥86英寸。</w:t>
                  </w:r>
                </w:p>
                <w:p>
                  <w:pPr>
                    <w:pStyle w:val="null3"/>
                    <w:ind w:firstLine="420"/>
                    <w:jc w:val="both"/>
                  </w:pPr>
                  <w:r>
                    <w:rPr>
                      <w:rFonts w:ascii="仿宋_GB2312" w:hAnsi="仿宋_GB2312" w:cs="仿宋_GB2312" w:eastAsia="仿宋_GB2312"/>
                      <w:sz w:val="21"/>
                      <w:color w:val="000000"/>
                    </w:rPr>
                    <w:t>2.▲主屏支持教鞭、手指直接书写，整机两侧副屏可支持以下媒介（普通粉笔、液体粉笔、成膜笔）进行板书书写。</w:t>
                  </w:r>
                </w:p>
                <w:p>
                  <w:pPr>
                    <w:pStyle w:val="null3"/>
                    <w:ind w:firstLine="420"/>
                    <w:jc w:val="both"/>
                  </w:pPr>
                  <w:r>
                    <w:rPr>
                      <w:rFonts w:ascii="仿宋_GB2312" w:hAnsi="仿宋_GB2312" w:cs="仿宋_GB2312" w:eastAsia="仿宋_GB2312"/>
                      <w:sz w:val="21"/>
                      <w:color w:val="000000"/>
                    </w:rPr>
                    <w:t>3.▲整机两侧附屏带板书记忆功能。</w:t>
                  </w:r>
                </w:p>
                <w:p>
                  <w:pPr>
                    <w:pStyle w:val="null3"/>
                    <w:ind w:firstLine="420"/>
                    <w:jc w:val="both"/>
                  </w:pPr>
                  <w:r>
                    <w:rPr>
                      <w:rFonts w:ascii="仿宋_GB2312" w:hAnsi="仿宋_GB2312" w:cs="仿宋_GB2312" w:eastAsia="仿宋_GB2312"/>
                      <w:sz w:val="21"/>
                      <w:color w:val="000000"/>
                    </w:rPr>
                    <w:t>4.整机采用防眩光玻璃，钢化玻璃表面硬度≥9H。</w:t>
                  </w:r>
                </w:p>
                <w:p>
                  <w:pPr>
                    <w:pStyle w:val="null3"/>
                    <w:ind w:firstLine="420"/>
                    <w:jc w:val="both"/>
                  </w:pPr>
                  <w:r>
                    <w:rPr>
                      <w:rFonts w:ascii="仿宋_GB2312" w:hAnsi="仿宋_GB2312" w:cs="仿宋_GB2312" w:eastAsia="仿宋_GB2312"/>
                      <w:sz w:val="21"/>
                      <w:color w:val="000000"/>
                    </w:rPr>
                    <w:t>5.整机支持音效设置，可以调节左右声道平衡；在中低频段200Hz～1KHz，高频段2KHz～15KHz分别有-10dB～10dB范围的调节功能。</w:t>
                  </w:r>
                </w:p>
                <w:p>
                  <w:pPr>
                    <w:pStyle w:val="null3"/>
                    <w:ind w:firstLine="420"/>
                    <w:jc w:val="both"/>
                  </w:pPr>
                  <w:r>
                    <w:rPr>
                      <w:rFonts w:ascii="仿宋_GB2312" w:hAnsi="仿宋_GB2312" w:cs="仿宋_GB2312" w:eastAsia="仿宋_GB2312"/>
                      <w:sz w:val="21"/>
                      <w:color w:val="000000"/>
                    </w:rPr>
                    <w:t>6.支持标准、听力、观影和AI空间感知音效等模式，AI空间感知音效模式可通过内置麦克风采集教室物理环境声音，自动生成符合当前教室物理环境的频段、音量、音效等。</w:t>
                  </w:r>
                </w:p>
                <w:p>
                  <w:pPr>
                    <w:pStyle w:val="null3"/>
                    <w:ind w:firstLine="420"/>
                    <w:jc w:val="both"/>
                  </w:pPr>
                  <w:r>
                    <w:rPr>
                      <w:rFonts w:ascii="仿宋_GB2312" w:hAnsi="仿宋_GB2312" w:cs="仿宋_GB2312" w:eastAsia="仿宋_GB2312"/>
                      <w:sz w:val="21"/>
                      <w:color w:val="000000"/>
                    </w:rPr>
                    <w:t>7.整机内置扬声器。</w:t>
                  </w:r>
                </w:p>
                <w:p>
                  <w:pPr>
                    <w:pStyle w:val="null3"/>
                    <w:ind w:firstLine="420"/>
                    <w:jc w:val="both"/>
                  </w:pPr>
                  <w:r>
                    <w:rPr>
                      <w:rFonts w:ascii="仿宋_GB2312" w:hAnsi="仿宋_GB2312" w:cs="仿宋_GB2312" w:eastAsia="仿宋_GB2312"/>
                      <w:sz w:val="21"/>
                      <w:color w:val="000000"/>
                    </w:rPr>
                    <w:t>8.采用红外触控技术，满足不少于40点触控。</w:t>
                  </w:r>
                </w:p>
                <w:p>
                  <w:pPr>
                    <w:pStyle w:val="null3"/>
                    <w:ind w:firstLine="420"/>
                    <w:jc w:val="both"/>
                  </w:pPr>
                  <w:r>
                    <w:rPr>
                      <w:rFonts w:ascii="仿宋_GB2312" w:hAnsi="仿宋_GB2312" w:cs="仿宋_GB2312" w:eastAsia="仿宋_GB2312"/>
                      <w:sz w:val="21"/>
                      <w:color w:val="000000"/>
                    </w:rPr>
                    <w:t>9.整机支持色彩空间可选，包含但不限于标准模式和sRGB模式。</w:t>
                  </w:r>
                </w:p>
                <w:p>
                  <w:pPr>
                    <w:pStyle w:val="null3"/>
                    <w:ind w:firstLine="420"/>
                    <w:jc w:val="both"/>
                  </w:pPr>
                  <w:r>
                    <w:rPr>
                      <w:rFonts w:ascii="仿宋_GB2312" w:hAnsi="仿宋_GB2312" w:cs="仿宋_GB2312" w:eastAsia="仿宋_GB2312"/>
                      <w:sz w:val="21"/>
                      <w:color w:val="000000"/>
                    </w:rPr>
                    <w:t>10.整机支持蓝牙Bluetooth 5.4或以上标准。</w:t>
                  </w:r>
                </w:p>
                <w:p>
                  <w:pPr>
                    <w:pStyle w:val="null3"/>
                    <w:ind w:firstLine="420"/>
                    <w:jc w:val="both"/>
                  </w:pPr>
                  <w:r>
                    <w:rPr>
                      <w:rFonts w:ascii="仿宋_GB2312" w:hAnsi="仿宋_GB2312" w:cs="仿宋_GB2312" w:eastAsia="仿宋_GB2312"/>
                      <w:sz w:val="21"/>
                      <w:color w:val="000000"/>
                    </w:rPr>
                    <w:t>11.整机安卓版本不小于</w:t>
                  </w:r>
                  <w:r>
                    <w:rPr>
                      <w:rFonts w:ascii="仿宋_GB2312" w:hAnsi="仿宋_GB2312" w:cs="仿宋_GB2312" w:eastAsia="仿宋_GB2312"/>
                      <w:sz w:val="21"/>
                      <w:color w:val="000000"/>
                    </w:rPr>
                    <w:t>A</w:t>
                  </w:r>
                  <w:r>
                    <w:rPr>
                      <w:rFonts w:ascii="仿宋_GB2312" w:hAnsi="仿宋_GB2312" w:cs="仿宋_GB2312" w:eastAsia="仿宋_GB2312"/>
                      <w:sz w:val="21"/>
                      <w:color w:val="000000"/>
                    </w:rPr>
                    <w:t>ndroid15。</w:t>
                  </w:r>
                </w:p>
                <w:p>
                  <w:pPr>
                    <w:pStyle w:val="null3"/>
                    <w:ind w:firstLine="422"/>
                    <w:jc w:val="both"/>
                  </w:pPr>
                  <w:r>
                    <w:rPr>
                      <w:rFonts w:ascii="仿宋_GB2312" w:hAnsi="仿宋_GB2312" w:cs="仿宋_GB2312" w:eastAsia="仿宋_GB2312"/>
                      <w:sz w:val="21"/>
                      <w:b/>
                      <w:color w:val="000000"/>
                    </w:rPr>
                    <w:t>二、接口及按键</w:t>
                  </w:r>
                </w:p>
                <w:p>
                  <w:pPr>
                    <w:pStyle w:val="null3"/>
                    <w:ind w:firstLine="420"/>
                    <w:jc w:val="both"/>
                  </w:pPr>
                  <w:r>
                    <w:rPr>
                      <w:rFonts w:ascii="仿宋_GB2312" w:hAnsi="仿宋_GB2312" w:cs="仿宋_GB2312" w:eastAsia="仿宋_GB2312"/>
                      <w:sz w:val="21"/>
                      <w:color w:val="000000"/>
                    </w:rPr>
                    <w:t>1.整机具备前置按键，支持通过前置按键进行开关机等操作。</w:t>
                  </w:r>
                </w:p>
                <w:p>
                  <w:pPr>
                    <w:pStyle w:val="null3"/>
                    <w:ind w:firstLine="420"/>
                    <w:jc w:val="both"/>
                  </w:pPr>
                  <w:r>
                    <w:rPr>
                      <w:rFonts w:ascii="仿宋_GB2312" w:hAnsi="仿宋_GB2312" w:cs="仿宋_GB2312" w:eastAsia="仿宋_GB2312"/>
                      <w:sz w:val="21"/>
                      <w:color w:val="000000"/>
                    </w:rPr>
                    <w:t>2.▲支持通过前置面板物理按键一键启动录屏功能，可将屏幕中显示的课件、音频内容与老师人声同时录制。</w:t>
                  </w:r>
                </w:p>
                <w:p>
                  <w:pPr>
                    <w:pStyle w:val="null3"/>
                    <w:ind w:firstLine="420"/>
                    <w:jc w:val="both"/>
                  </w:pPr>
                  <w:r>
                    <w:rPr>
                      <w:rFonts w:ascii="仿宋_GB2312" w:hAnsi="仿宋_GB2312" w:cs="仿宋_GB2312" w:eastAsia="仿宋_GB2312"/>
                      <w:sz w:val="21"/>
                      <w:color w:val="000000"/>
                    </w:rPr>
                    <w:t>3.智能黑板具备多种护眼模式。</w:t>
                  </w:r>
                </w:p>
                <w:p>
                  <w:pPr>
                    <w:pStyle w:val="null3"/>
                    <w:ind w:firstLine="420"/>
                    <w:jc w:val="both"/>
                  </w:pPr>
                  <w:r>
                    <w:rPr>
                      <w:rFonts w:ascii="仿宋_GB2312" w:hAnsi="仿宋_GB2312" w:cs="仿宋_GB2312" w:eastAsia="仿宋_GB2312"/>
                      <w:sz w:val="21"/>
                      <w:color w:val="000000"/>
                    </w:rPr>
                    <w:t>4.▲整机支持提笔书写，可实现无需点击任意功能入口，当检测到触控笔接触屏幕时，自动进入书写模式。</w:t>
                  </w:r>
                </w:p>
                <w:p>
                  <w:pPr>
                    <w:pStyle w:val="null3"/>
                    <w:ind w:firstLine="420"/>
                    <w:jc w:val="both"/>
                  </w:pPr>
                  <w:r>
                    <w:rPr>
                      <w:rFonts w:ascii="仿宋_GB2312" w:hAnsi="仿宋_GB2312" w:cs="仿宋_GB2312" w:eastAsia="仿宋_GB2312"/>
                      <w:sz w:val="21"/>
                      <w:color w:val="000000"/>
                    </w:rPr>
                    <w:t>5.前置接口，实现外接电脑HDMI信号的接入显示。</w:t>
                  </w:r>
                </w:p>
                <w:p>
                  <w:pPr>
                    <w:pStyle w:val="null3"/>
                    <w:ind w:firstLine="422"/>
                    <w:jc w:val="both"/>
                  </w:pPr>
                  <w:r>
                    <w:rPr>
                      <w:rFonts w:ascii="仿宋_GB2312" w:hAnsi="仿宋_GB2312" w:cs="仿宋_GB2312" w:eastAsia="仿宋_GB2312"/>
                      <w:sz w:val="21"/>
                      <w:b/>
                      <w:color w:val="000000"/>
                    </w:rPr>
                    <w:t>三、整机功能</w:t>
                  </w:r>
                </w:p>
                <w:p>
                  <w:pPr>
                    <w:pStyle w:val="null3"/>
                    <w:ind w:firstLine="420"/>
                    <w:jc w:val="both"/>
                  </w:pPr>
                  <w:r>
                    <w:rPr>
                      <w:rFonts w:ascii="仿宋_GB2312" w:hAnsi="仿宋_GB2312" w:cs="仿宋_GB2312" w:eastAsia="仿宋_GB2312"/>
                      <w:sz w:val="21"/>
                      <w:color w:val="000000"/>
                    </w:rPr>
                    <w:t>1.▲整机内置摄像头，摄像头数量≥1个，像素数≥4000万，摄像头视场角≥130度。</w:t>
                  </w:r>
                </w:p>
                <w:p>
                  <w:pPr>
                    <w:pStyle w:val="null3"/>
                    <w:ind w:firstLine="420"/>
                    <w:jc w:val="both"/>
                  </w:pPr>
                  <w:r>
                    <w:rPr>
                      <w:rFonts w:ascii="仿宋_GB2312" w:hAnsi="仿宋_GB2312" w:cs="仿宋_GB2312" w:eastAsia="仿宋_GB2312"/>
                      <w:sz w:val="21"/>
                      <w:color w:val="000000"/>
                    </w:rPr>
                    <w:t>2.整机系统支持智能画质调节模式（AI-PQ），可根据屏幕内容自动调节画质参数，当屏幕出现人物、建筑等元素时，自动调整对比度、饱和度等。</w:t>
                  </w:r>
                </w:p>
                <w:p>
                  <w:pPr>
                    <w:pStyle w:val="null3"/>
                    <w:ind w:firstLine="420"/>
                    <w:jc w:val="both"/>
                  </w:pPr>
                  <w:r>
                    <w:rPr>
                      <w:rFonts w:ascii="仿宋_GB2312" w:hAnsi="仿宋_GB2312" w:cs="仿宋_GB2312" w:eastAsia="仿宋_GB2312"/>
                      <w:sz w:val="21"/>
                      <w:color w:val="000000"/>
                    </w:rPr>
                    <w:t xml:space="preserve">3.触摸屏在照度≥100K </w:t>
                  </w:r>
                  <w:r>
                    <w:rPr>
                      <w:rFonts w:ascii="仿宋_GB2312" w:hAnsi="仿宋_GB2312" w:cs="仿宋_GB2312" w:eastAsia="仿宋_GB2312"/>
                      <w:sz w:val="21"/>
                      <w:color w:val="000000"/>
                    </w:rPr>
                    <w:t>Lux</w:t>
                  </w:r>
                  <w:r>
                    <w:rPr>
                      <w:rFonts w:ascii="仿宋_GB2312" w:hAnsi="仿宋_GB2312" w:cs="仿宋_GB2312" w:eastAsia="仿宋_GB2312"/>
                      <w:sz w:val="21"/>
                      <w:color w:val="000000"/>
                    </w:rPr>
                    <w:t>环境下仍能正常工作。</w:t>
                  </w:r>
                </w:p>
                <w:p>
                  <w:pPr>
                    <w:pStyle w:val="null3"/>
                    <w:ind w:firstLine="420"/>
                    <w:jc w:val="both"/>
                  </w:pPr>
                  <w:r>
                    <w:rPr>
                      <w:rFonts w:ascii="仿宋_GB2312" w:hAnsi="仿宋_GB2312" w:cs="仿宋_GB2312" w:eastAsia="仿宋_GB2312"/>
                      <w:sz w:val="21"/>
                      <w:color w:val="000000"/>
                    </w:rPr>
                    <w:t>4．系统支持账户密码、扫码、声音等多种方式登录系统，登录后自动访问教师个人教学资源。</w:t>
                  </w:r>
                </w:p>
                <w:p>
                  <w:pPr>
                    <w:pStyle w:val="null3"/>
                    <w:ind w:firstLine="422"/>
                    <w:jc w:val="both"/>
                  </w:pPr>
                  <w:r>
                    <w:rPr>
                      <w:rFonts w:ascii="仿宋_GB2312" w:hAnsi="仿宋_GB2312" w:cs="仿宋_GB2312" w:eastAsia="仿宋_GB2312"/>
                      <w:sz w:val="21"/>
                      <w:b/>
                      <w:color w:val="000000"/>
                    </w:rPr>
                    <w:t>四、内置</w:t>
                  </w:r>
                  <w:r>
                    <w:rPr>
                      <w:rFonts w:ascii="仿宋_GB2312" w:hAnsi="仿宋_GB2312" w:cs="仿宋_GB2312" w:eastAsia="仿宋_GB2312"/>
                      <w:sz w:val="21"/>
                      <w:b/>
                      <w:color w:val="000000"/>
                    </w:rPr>
                    <w:t>OPS：</w:t>
                  </w:r>
                </w:p>
                <w:p>
                  <w:pPr>
                    <w:pStyle w:val="null3"/>
                    <w:ind w:firstLine="420"/>
                    <w:jc w:val="both"/>
                  </w:pPr>
                  <w:r>
                    <w:rPr>
                      <w:rFonts w:ascii="仿宋_GB2312" w:hAnsi="仿宋_GB2312" w:cs="仿宋_GB2312" w:eastAsia="仿宋_GB2312"/>
                      <w:sz w:val="21"/>
                      <w:color w:val="000000"/>
                    </w:rPr>
                    <w:t>1. ▲采用抽拉内置式模块化电脑，可实现无单独接线的插拔，支持按压式卡扣方式。</w:t>
                  </w:r>
                </w:p>
                <w:p>
                  <w:pPr>
                    <w:pStyle w:val="null3"/>
                    <w:ind w:firstLine="420"/>
                    <w:jc w:val="both"/>
                  </w:pPr>
                  <w:r>
                    <w:rPr>
                      <w:rFonts w:ascii="仿宋_GB2312" w:hAnsi="仿宋_GB2312" w:cs="仿宋_GB2312" w:eastAsia="仿宋_GB2312"/>
                      <w:sz w:val="21"/>
                      <w:color w:val="000000"/>
                    </w:rPr>
                    <w:t>2.▲CPU</w:t>
                  </w:r>
                  <w:r>
                    <w:rPr>
                      <w:rFonts w:ascii="仿宋_GB2312" w:hAnsi="仿宋_GB2312" w:cs="仿宋_GB2312" w:eastAsia="仿宋_GB2312"/>
                      <w:sz w:val="21"/>
                      <w:color w:val="000000"/>
                    </w:rPr>
                    <w:t>采用</w:t>
                  </w:r>
                  <w:r>
                    <w:rPr>
                      <w:rFonts w:ascii="仿宋_GB2312" w:hAnsi="仿宋_GB2312" w:cs="仿宋_GB2312" w:eastAsia="仿宋_GB2312"/>
                      <w:sz w:val="21"/>
                      <w:color w:val="000000"/>
                    </w:rPr>
                    <w:t>≤10纳米工艺，</w:t>
                  </w:r>
                  <w:r>
                    <w:rPr>
                      <w:rFonts w:ascii="仿宋_GB2312" w:hAnsi="仿宋_GB2312" w:cs="仿宋_GB2312" w:eastAsia="仿宋_GB2312"/>
                      <w:sz w:val="21"/>
                      <w:color w:val="000000"/>
                    </w:rPr>
                    <w:t>主频</w:t>
                  </w:r>
                  <w:r>
                    <w:rPr>
                      <w:rFonts w:ascii="仿宋_GB2312" w:hAnsi="仿宋_GB2312" w:cs="仿宋_GB2312" w:eastAsia="仿宋_GB2312"/>
                      <w:sz w:val="21"/>
                      <w:color w:val="000000"/>
                    </w:rPr>
                    <w:t>≥2.0GHz，≥6核心12线程；三级缓存≥12MB。内存：≥16 GB DDR4 内存或以上配置。硬盘：≥512 GB SSD 固态硬盘 或以上配置。</w:t>
                  </w:r>
                </w:p>
                <w:p>
                  <w:pPr>
                    <w:pStyle w:val="null3"/>
                    <w:ind w:firstLine="420"/>
                    <w:jc w:val="both"/>
                  </w:pPr>
                  <w:r>
                    <w:rPr>
                      <w:rFonts w:ascii="仿宋_GB2312" w:hAnsi="仿宋_GB2312" w:cs="仿宋_GB2312" w:eastAsia="仿宋_GB2312"/>
                      <w:sz w:val="21"/>
                      <w:color w:val="000000"/>
                    </w:rPr>
                    <w:t>3. 具备不少于 4 路 USB 接口。</w:t>
                  </w:r>
                </w:p>
                <w:p>
                  <w:pPr>
                    <w:pStyle w:val="null3"/>
                    <w:jc w:val="center"/>
                  </w:pPr>
                  <w:r>
                    <w:rPr>
                      <w:rFonts w:ascii="仿宋_GB2312" w:hAnsi="仿宋_GB2312" w:cs="仿宋_GB2312" w:eastAsia="仿宋_GB2312"/>
                      <w:sz w:val="21"/>
                      <w:b/>
                      <w:color w:val="000000"/>
                    </w:rPr>
                    <w:t>第二部分软件</w:t>
                  </w:r>
                </w:p>
                <w:p>
                  <w:pPr>
                    <w:pStyle w:val="null3"/>
                    <w:ind w:firstLine="422"/>
                    <w:jc w:val="both"/>
                  </w:pPr>
                  <w:r>
                    <w:rPr>
                      <w:rFonts w:ascii="仿宋_GB2312" w:hAnsi="仿宋_GB2312" w:cs="仿宋_GB2312" w:eastAsia="仿宋_GB2312"/>
                      <w:sz w:val="21"/>
                      <w:b/>
                      <w:color w:val="000000"/>
                    </w:rPr>
                    <w:t>一、备授课互动教学软件</w:t>
                  </w:r>
                </w:p>
                <w:p>
                  <w:pPr>
                    <w:pStyle w:val="null3"/>
                    <w:ind w:firstLine="420"/>
                    <w:jc w:val="both"/>
                  </w:pPr>
                  <w:r>
                    <w:rPr>
                      <w:rFonts w:ascii="仿宋_GB2312" w:hAnsi="仿宋_GB2312" w:cs="仿宋_GB2312" w:eastAsia="仿宋_GB2312"/>
                      <w:sz w:val="21"/>
                      <w:color w:val="000000"/>
                    </w:rPr>
                    <w:t>1.▲软件</w:t>
                  </w:r>
                  <w:r>
                    <w:rPr>
                      <w:rFonts w:ascii="仿宋_GB2312" w:hAnsi="仿宋_GB2312" w:cs="仿宋_GB2312" w:eastAsia="仿宋_GB2312"/>
                      <w:sz w:val="21"/>
                      <w:color w:val="000000"/>
                    </w:rPr>
                    <w:t>需</w:t>
                  </w:r>
                  <w:r>
                    <w:rPr>
                      <w:rFonts w:ascii="仿宋_GB2312" w:hAnsi="仿宋_GB2312" w:cs="仿宋_GB2312" w:eastAsia="仿宋_GB2312"/>
                      <w:sz w:val="21"/>
                      <w:color w:val="000000"/>
                    </w:rPr>
                    <w:t>提供不少于</w:t>
                  </w:r>
                  <w:r>
                    <w:rPr>
                      <w:rFonts w:ascii="仿宋_GB2312" w:hAnsi="仿宋_GB2312" w:cs="仿宋_GB2312" w:eastAsia="仿宋_GB2312"/>
                      <w:sz w:val="21"/>
                      <w:color w:val="000000"/>
                    </w:rPr>
                    <w:t>1T云空间</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支持自动同步保存，</w:t>
                  </w:r>
                  <w:r>
                    <w:rPr>
                      <w:rFonts w:ascii="仿宋_GB2312" w:hAnsi="仿宋_GB2312" w:cs="仿宋_GB2312" w:eastAsia="仿宋_GB2312"/>
                      <w:sz w:val="21"/>
                      <w:color w:val="000000"/>
                    </w:rPr>
                    <w:t>可根据需要调整云空间自动同步的时间间隔。</w:t>
                  </w:r>
                </w:p>
                <w:p>
                  <w:pPr>
                    <w:pStyle w:val="null3"/>
                    <w:ind w:firstLine="420"/>
                    <w:jc w:val="left"/>
                  </w:pPr>
                  <w:r>
                    <w:rPr>
                      <w:rFonts w:ascii="仿宋_GB2312" w:hAnsi="仿宋_GB2312" w:cs="仿宋_GB2312" w:eastAsia="仿宋_GB2312"/>
                      <w:sz w:val="21"/>
                      <w:color w:val="000000"/>
                    </w:rPr>
                    <w:t>2.采用备授课一体化框架设计，教师可根据教学场景自由切换类 PPT 界面的备课模式与触控交互教学模式，适用于教室、办公室等不同教学环境。</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.▲软件支持电子化听评课功能，老师可在授课模式下在线发起听评课，其他老师可进行评价以及获取课件，发起老师可查看历史评课记录并进行文档导出，支持常见的文档格式。</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.提供直线、箭头、正方形、四边形、圆形、三角形、菱形、梯形、五边形等基本几何图形以及对话框、五角星、大括号、旗子等特殊图形，特殊图形插入后支持顶点位置编辑；图形总数量不少于 40 种，可直接插入课件供教师使用。</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软件内置语音课堂功能，可进行语音直播、课件同步、互动工具远程教学等；老师创建课堂后可便捷分享，学生可加入课堂，课堂学生可提问，教师可下发习题等，直播中还可下发奖杯等对学生进行激励，课堂结束后可自动生成直播回放。</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.支持对音频、视频文件进行关键帧标记，可在音、视频进度条任意位置自由设置关键帧播放节点，快速定位讲解关键教学内容。</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软件支持老师发起集体备课功能，老师可自行选择对应课件、资源等发起线上备课，邀请其他老师共同参加，参与的老师可在评论区发表个人观点以及对其他老师的观点进行点赞等，参与老师还可以实时对课件内容进行批注，研讨备课结束后，可自动生成报告，老师可获取查看。</w:t>
                  </w:r>
                </w:p>
                <w:p>
                  <w:pPr>
                    <w:pStyle w:val="null3"/>
                    <w:ind w:firstLine="420"/>
                    <w:jc w:val="both"/>
                  </w:pPr>
                  <w:r>
                    <w:rPr>
                      <w:rFonts w:ascii="仿宋_GB2312" w:hAnsi="仿宋_GB2312" w:cs="仿宋_GB2312" w:eastAsia="仿宋_GB2312"/>
                      <w:sz w:val="21"/>
                      <w:color w:val="000000"/>
                    </w:rPr>
                    <w:t>8</w:t>
                  </w:r>
                  <w:r>
                    <w:rPr>
                      <w:rFonts w:ascii="仿宋_GB2312" w:hAnsi="仿宋_GB2312" w:cs="仿宋_GB2312" w:eastAsia="仿宋_GB2312"/>
                      <w:sz w:val="21"/>
                      <w:color w:val="000000"/>
                    </w:rPr>
                    <w:t>.▲支持学校资源库建设，可支持多种类型资源上传，如doc,pdf,ppt,xls,mp4,ogg等</w:t>
                  </w:r>
                  <w:r>
                    <w:rPr>
                      <w:rFonts w:ascii="仿宋_GB2312" w:hAnsi="仿宋_GB2312" w:cs="仿宋_GB2312" w:eastAsia="仿宋_GB2312"/>
                      <w:sz w:val="21"/>
                      <w:color w:val="000000"/>
                    </w:rPr>
                    <w:t>格式文件</w:t>
                  </w:r>
                  <w:r>
                    <w:rPr>
                      <w:rFonts w:ascii="仿宋_GB2312" w:hAnsi="仿宋_GB2312" w:cs="仿宋_GB2312" w:eastAsia="仿宋_GB2312"/>
                      <w:sz w:val="21"/>
                      <w:color w:val="000000"/>
                    </w:rPr>
                    <w:t>，支持批量上传，资源支持不同维度批量搜索，支持资源查看预览，可进行删除、重命名等操作，同时可以本地查看资源，也可选择插入学校资源库中的资源。</w:t>
                  </w:r>
                </w:p>
                <w:p>
                  <w:pPr>
                    <w:pStyle w:val="null3"/>
                    <w:ind w:firstLine="420"/>
                    <w:jc w:val="both"/>
                  </w:pPr>
                  <w:r>
                    <w:rPr>
                      <w:rFonts w:ascii="仿宋_GB2312" w:hAnsi="仿宋_GB2312" w:cs="仿宋_GB2312" w:eastAsia="仿宋_GB2312"/>
                      <w:sz w:val="21"/>
                      <w:color w:val="000000"/>
                    </w:rPr>
                    <w:t>9</w:t>
                  </w:r>
                  <w:r>
                    <w:rPr>
                      <w:rFonts w:ascii="仿宋_GB2312" w:hAnsi="仿宋_GB2312" w:cs="仿宋_GB2312" w:eastAsia="仿宋_GB2312"/>
                      <w:sz w:val="21"/>
                      <w:color w:val="000000"/>
                    </w:rPr>
                    <w:t>.软件提供不少于90节党建微课视频，包括国家要求学习的革命、建设、改革、复兴等内容，支持在线点播及下载，支持视频关键帧标记，播放过程中可一键跳转，支持随时截图插入课件。</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为保证软件稳定性，需与智慧黑板为同一品牌。</w:t>
                  </w:r>
                </w:p>
                <w:p>
                  <w:pPr>
                    <w:pStyle w:val="null3"/>
                    <w:ind w:firstLine="422"/>
                    <w:jc w:val="both"/>
                  </w:pPr>
                  <w:r>
                    <w:rPr>
                      <w:rFonts w:ascii="仿宋_GB2312" w:hAnsi="仿宋_GB2312" w:cs="仿宋_GB2312" w:eastAsia="仿宋_GB2312"/>
                      <w:sz w:val="21"/>
                      <w:b/>
                      <w:color w:val="000000"/>
                    </w:rPr>
                    <w:t>二、教学数据分析管理平台</w:t>
                  </w:r>
                </w:p>
                <w:p>
                  <w:pPr>
                    <w:pStyle w:val="null3"/>
                    <w:ind w:firstLine="420"/>
                    <w:jc w:val="both"/>
                  </w:pPr>
                  <w:r>
                    <w:rPr>
                      <w:rFonts w:ascii="仿宋_GB2312" w:hAnsi="仿宋_GB2312" w:cs="仿宋_GB2312" w:eastAsia="仿宋_GB2312"/>
                      <w:sz w:val="21"/>
                      <w:color w:val="000000"/>
                    </w:rPr>
                    <w:t>1.后台采用B/S架构设计，支持学校管理者在多种不同的操作系统上通过网页浏览器登</w:t>
                  </w:r>
                  <w:r>
                    <w:rPr>
                      <w:rFonts w:ascii="仿宋_GB2312" w:hAnsi="仿宋_GB2312" w:cs="仿宋_GB2312" w:eastAsia="仿宋_GB2312"/>
                      <w:sz w:val="21"/>
                      <w:color w:val="000000"/>
                    </w:rPr>
                    <w:t>录</w:t>
                  </w:r>
                  <w:r>
                    <w:rPr>
                      <w:rFonts w:ascii="仿宋_GB2312" w:hAnsi="仿宋_GB2312" w:cs="仿宋_GB2312" w:eastAsia="仿宋_GB2312"/>
                      <w:sz w:val="21"/>
                      <w:color w:val="000000"/>
                    </w:rPr>
                    <w:t>进行操作，可统计全校教师软件活跃数据、学生点评及课件上传等数据。</w:t>
                  </w:r>
                </w:p>
                <w:p>
                  <w:pPr>
                    <w:pStyle w:val="null3"/>
                    <w:ind w:firstLine="420"/>
                    <w:jc w:val="both"/>
                  </w:pPr>
                  <w:r>
                    <w:rPr>
                      <w:rFonts w:ascii="仿宋_GB2312" w:hAnsi="仿宋_GB2312" w:cs="仿宋_GB2312" w:eastAsia="仿宋_GB2312"/>
                      <w:sz w:val="21"/>
                      <w:color w:val="000000"/>
                    </w:rPr>
                    <w:t>2.支持管理员及教师使用网页端、移动端登录，移动端支持查看网页端数据信息，教师榜单，并定期推送数据分析报表。</w:t>
                  </w:r>
                </w:p>
                <w:p>
                  <w:pPr>
                    <w:pStyle w:val="null3"/>
                    <w:ind w:firstLine="420"/>
                    <w:jc w:val="both"/>
                  </w:pPr>
                  <w:r>
                    <w:rPr>
                      <w:rFonts w:ascii="仿宋_GB2312" w:hAnsi="仿宋_GB2312" w:cs="仿宋_GB2312" w:eastAsia="仿宋_GB2312"/>
                      <w:sz w:val="21"/>
                      <w:color w:val="000000"/>
                    </w:rPr>
                    <w:t>3.信息化数据展示：将信息化教学数据分不少于五个维度进行评估，包括但不限于资源建设</w:t>
                  </w:r>
                  <w:r>
                    <w:rPr>
                      <w:rFonts w:ascii="仿宋_GB2312" w:hAnsi="仿宋_GB2312" w:cs="仿宋_GB2312" w:eastAsia="仿宋_GB2312"/>
                      <w:sz w:val="21"/>
                      <w:color w:val="000000"/>
                    </w:rPr>
                    <w:t>、学</w:t>
                  </w:r>
                  <w:r>
                    <w:rPr>
                      <w:rFonts w:ascii="仿宋_GB2312" w:hAnsi="仿宋_GB2312" w:cs="仿宋_GB2312" w:eastAsia="仿宋_GB2312"/>
                      <w:sz w:val="21"/>
                      <w:color w:val="000000"/>
                    </w:rPr>
                    <w:t>校影响力、班级氛围、学情分析、校本研修。</w:t>
                  </w:r>
                </w:p>
                <w:p>
                  <w:pPr>
                    <w:pStyle w:val="null3"/>
                    <w:ind w:firstLine="420"/>
                    <w:jc w:val="both"/>
                  </w:pPr>
                  <w:r>
                    <w:rPr>
                      <w:rFonts w:ascii="仿宋_GB2312" w:hAnsi="仿宋_GB2312" w:cs="仿宋_GB2312" w:eastAsia="仿宋_GB2312"/>
                      <w:sz w:val="21"/>
                      <w:color w:val="000000"/>
                    </w:rPr>
                    <w:t>4.学校通知：管理员可根据组织架构信息，自由选定教师发送学校通知。发送后，管理员可实时查阅教师已读、未读情况。通知的发送、接收都可在移动端中完成。</w:t>
                  </w:r>
                </w:p>
                <w:p>
                  <w:pPr>
                    <w:pStyle w:val="null3"/>
                    <w:ind w:firstLine="420"/>
                    <w:jc w:val="both"/>
                  </w:pPr>
                  <w:r>
                    <w:rPr>
                      <w:rFonts w:ascii="仿宋_GB2312" w:hAnsi="仿宋_GB2312" w:cs="仿宋_GB2312" w:eastAsia="仿宋_GB2312"/>
                      <w:sz w:val="21"/>
                      <w:color w:val="000000"/>
                    </w:rPr>
                    <w:t>5.教师考勤：具备教师GPS定位打卡考勤功能。学校管理员可设置考勤时间、考勤范围，还可以查看和导出考勤数据报表。教师可在移动端进行GPS考勤，到达学校范围后即激活打卡，支持入校、离校、迟到、早退等多种打卡类型。</w:t>
                  </w:r>
                </w:p>
                <w:p>
                  <w:pPr>
                    <w:pStyle w:val="null3"/>
                    <w:ind w:firstLine="420"/>
                    <w:jc w:val="both"/>
                  </w:pPr>
                  <w:r>
                    <w:rPr>
                      <w:rFonts w:ascii="仿宋_GB2312" w:hAnsi="仿宋_GB2312" w:cs="仿宋_GB2312" w:eastAsia="仿宋_GB2312"/>
                      <w:sz w:val="21"/>
                      <w:color w:val="000000"/>
                    </w:rPr>
                    <w:t>6.组织架构：管理员可自定义构建部门，亦可将教师导入相应的部门，方便进行分组管理。支持管理者在移动端审核教师入校。</w:t>
                  </w:r>
                </w:p>
                <w:p>
                  <w:pPr>
                    <w:pStyle w:val="null3"/>
                    <w:ind w:firstLine="420"/>
                    <w:jc w:val="both"/>
                  </w:pPr>
                  <w:r>
                    <w:rPr>
                      <w:rFonts w:ascii="仿宋_GB2312" w:hAnsi="仿宋_GB2312" w:cs="仿宋_GB2312" w:eastAsia="仿宋_GB2312"/>
                      <w:sz w:val="21"/>
                      <w:color w:val="000000"/>
                    </w:rPr>
                    <w:t>7.为学校提供教研全流程管理服务，包含但不限于目标计划、教学设计、集体备课、听课评课、班级氛围等流程管理和数据分析</w:t>
                  </w:r>
                  <w:r>
                    <w:rPr>
                      <w:rFonts w:ascii="仿宋_GB2312" w:hAnsi="仿宋_GB2312" w:cs="仿宋_GB2312" w:eastAsia="仿宋_GB2312"/>
                      <w:sz w:val="21"/>
                      <w:color w:val="000000"/>
                    </w:rPr>
                    <w:t>等</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8.▲听评课数据查看：教师可以查看个人听评课数据，包括个人平均分，累计听课节数，累计评课节数，同时可以分析评价维度的得分情况以及个人薄弱项。</w:t>
                  </w:r>
                </w:p>
                <w:p>
                  <w:pPr>
                    <w:pStyle w:val="null3"/>
                    <w:ind w:firstLine="420"/>
                    <w:jc w:val="both"/>
                  </w:pPr>
                  <w:r>
                    <w:rPr>
                      <w:rFonts w:ascii="仿宋_GB2312" w:hAnsi="仿宋_GB2312" w:cs="仿宋_GB2312" w:eastAsia="仿宋_GB2312"/>
                      <w:sz w:val="21"/>
                      <w:color w:val="000000"/>
                    </w:rPr>
                    <w:t>9.▲校本课件管理：可统一审核发布、删除教师上传至校本库的课件，支持查看更新时间、大小、下载次数等数据。校本课件支持文件夹分组。同时支持课件的批量移动、删除。</w:t>
                  </w:r>
                </w:p>
                <w:p>
                  <w:pPr>
                    <w:pStyle w:val="null3"/>
                    <w:ind w:firstLine="420"/>
                    <w:jc w:val="both"/>
                  </w:pPr>
                  <w:r>
                    <w:rPr>
                      <w:rFonts w:ascii="仿宋_GB2312" w:hAnsi="仿宋_GB2312" w:cs="仿宋_GB2312" w:eastAsia="仿宋_GB2312"/>
                      <w:sz w:val="21"/>
                      <w:color w:val="000000"/>
                    </w:rPr>
                    <w:t>10.校本课件榜单：支持查看校本课件各维度的榜单，包含最多分享教师榜单、最受欢迎课件榜单、最受欢迎教师榜单，可以查看数据详情，支持一键获取课件。</w:t>
                  </w:r>
                </w:p>
                <w:p>
                  <w:pPr>
                    <w:pStyle w:val="null3"/>
                    <w:ind w:firstLine="420"/>
                    <w:jc w:val="both"/>
                  </w:pPr>
                  <w:r>
                    <w:rPr>
                      <w:rFonts w:ascii="仿宋_GB2312" w:hAnsi="仿宋_GB2312" w:cs="仿宋_GB2312" w:eastAsia="仿宋_GB2312"/>
                      <w:sz w:val="21"/>
                      <w:color w:val="000000"/>
                    </w:rPr>
                    <w:t>11.校本课件数据详情：支持查看校本课件数据， 包括新增数据，各年级和学科的对比，可查看校本课件列表，校本课件列表可按累计被下载数排序。</w:t>
                  </w:r>
                </w:p>
                <w:p>
                  <w:pPr>
                    <w:pStyle w:val="null3"/>
                    <w:ind w:firstLine="420"/>
                    <w:jc w:val="both"/>
                  </w:pPr>
                  <w:r>
                    <w:rPr>
                      <w:rFonts w:ascii="仿宋_GB2312" w:hAnsi="仿宋_GB2312" w:cs="仿宋_GB2312" w:eastAsia="仿宋_GB2312"/>
                      <w:sz w:val="21"/>
                      <w:color w:val="000000"/>
                    </w:rPr>
                    <w:t>12.听评课数据统计导出：支持对不同评课维度得分进行统计，计算平均分并找出评分薄弱项，管理者</w:t>
                  </w:r>
                  <w:r>
                    <w:rPr>
                      <w:rFonts w:ascii="仿宋_GB2312" w:hAnsi="仿宋_GB2312" w:cs="仿宋_GB2312" w:eastAsia="仿宋_GB2312"/>
                      <w:sz w:val="21"/>
                      <w:color w:val="000000"/>
                    </w:rPr>
                    <w:t>可</w:t>
                  </w:r>
                  <w:r>
                    <w:rPr>
                      <w:rFonts w:ascii="仿宋_GB2312" w:hAnsi="仿宋_GB2312" w:cs="仿宋_GB2312" w:eastAsia="仿宋_GB2312"/>
                      <w:sz w:val="21"/>
                      <w:color w:val="000000"/>
                    </w:rPr>
                    <w:t>针对性优化教学策略，同时支持查看全校的评课记录和得分详情，可一键导出表格</w:t>
                  </w:r>
                  <w:r>
                    <w:rPr>
                      <w:rFonts w:ascii="仿宋_GB2312" w:hAnsi="仿宋_GB2312" w:cs="仿宋_GB2312" w:eastAsia="仿宋_GB2312"/>
                      <w:sz w:val="21"/>
                      <w:color w:val="000000"/>
                    </w:rPr>
                    <w:t>、</w:t>
                  </w:r>
                  <w:r>
                    <w:rPr>
                      <w:rFonts w:ascii="仿宋_GB2312" w:hAnsi="仿宋_GB2312" w:cs="仿宋_GB2312" w:eastAsia="仿宋_GB2312"/>
                      <w:sz w:val="21"/>
                      <w:color w:val="000000"/>
                    </w:rPr>
                    <w:t>整理。</w:t>
                  </w:r>
                </w:p>
                <w:p>
                  <w:pPr>
                    <w:pStyle w:val="null3"/>
                    <w:ind w:firstLine="420"/>
                    <w:jc w:val="both"/>
                  </w:pPr>
                  <w:r>
                    <w:rPr>
                      <w:rFonts w:ascii="仿宋_GB2312" w:hAnsi="仿宋_GB2312" w:cs="仿宋_GB2312" w:eastAsia="仿宋_GB2312"/>
                      <w:sz w:val="21"/>
                      <w:color w:val="000000"/>
                    </w:rPr>
                    <w:t>13.学校目标与计划：可以在系统中录入学校教学计划，计划可以和教案的课时数相关联。</w:t>
                  </w:r>
                </w:p>
                <w:p>
                  <w:pPr>
                    <w:pStyle w:val="null3"/>
                    <w:ind w:firstLine="420"/>
                    <w:jc w:val="both"/>
                  </w:pPr>
                  <w:r>
                    <w:rPr>
                      <w:rFonts w:ascii="仿宋_GB2312" w:hAnsi="仿宋_GB2312" w:cs="仿宋_GB2312" w:eastAsia="仿宋_GB2312"/>
                      <w:sz w:val="21"/>
                      <w:color w:val="000000"/>
                    </w:rPr>
                    <w:t>14.教研组计划：以不同学科不同年级教研组为单位，可以在系统中录入教研组教学计划，计划可以和教案的课时数相关联。</w:t>
                  </w:r>
                </w:p>
                <w:p>
                  <w:pPr>
                    <w:pStyle w:val="null3"/>
                    <w:ind w:firstLine="420"/>
                    <w:jc w:val="both"/>
                  </w:pPr>
                  <w:r>
                    <w:rPr>
                      <w:rFonts w:ascii="仿宋_GB2312" w:hAnsi="仿宋_GB2312" w:cs="仿宋_GB2312" w:eastAsia="仿宋_GB2312"/>
                      <w:sz w:val="21"/>
                      <w:color w:val="000000"/>
                    </w:rPr>
                    <w:t>15.教案模板管理：支持管理者自定义学校的教案模板，可以设置必填项和选填项。</w:t>
                  </w:r>
                </w:p>
                <w:p>
                  <w:pPr>
                    <w:pStyle w:val="null3"/>
                    <w:ind w:firstLine="420"/>
                    <w:jc w:val="both"/>
                  </w:pPr>
                  <w:r>
                    <w:rPr>
                      <w:rFonts w:ascii="仿宋_GB2312" w:hAnsi="仿宋_GB2312" w:cs="仿宋_GB2312" w:eastAsia="仿宋_GB2312"/>
                      <w:sz w:val="21"/>
                      <w:color w:val="000000"/>
                    </w:rPr>
                    <w:t>16.▲智慧黑板校级集中控制系统，具有远程还原系统、巡课、投放通知、远程文件传输、统计使用数据等功能。</w:t>
                  </w:r>
                </w:p>
                <w:p>
                  <w:pPr>
                    <w:pStyle w:val="null3"/>
                    <w:spacing w:before="150" w:after="150"/>
                    <w:jc w:val="center"/>
                  </w:pPr>
                  <w:r>
                    <w:rPr>
                      <w:rFonts w:ascii="仿宋_GB2312" w:hAnsi="仿宋_GB2312" w:cs="仿宋_GB2312" w:eastAsia="仿宋_GB2312"/>
                      <w:sz w:val="21"/>
                      <w:b/>
                      <w:color w:val="000000"/>
                    </w:rPr>
                    <w:t>第三部分</w:t>
                  </w:r>
                  <w:r>
                    <w:rPr>
                      <w:rFonts w:ascii="仿宋_GB2312" w:hAnsi="仿宋_GB2312" w:cs="仿宋_GB2312" w:eastAsia="仿宋_GB2312"/>
                      <w:sz w:val="21"/>
                      <w:b/>
                      <w:color w:val="000000"/>
                    </w:rPr>
                    <w:t>附属设备</w:t>
                  </w:r>
                </w:p>
                <w:p>
                  <w:pPr>
                    <w:pStyle w:val="null3"/>
                    <w:ind w:firstLine="422"/>
                    <w:jc w:val="both"/>
                  </w:pPr>
                  <w:r>
                    <w:rPr>
                      <w:rFonts w:ascii="仿宋_GB2312" w:hAnsi="仿宋_GB2312" w:cs="仿宋_GB2312" w:eastAsia="仿宋_GB2312"/>
                      <w:sz w:val="21"/>
                      <w:b/>
                      <w:color w:val="000000"/>
                    </w:rPr>
                    <w:t>一、壁挂视频展台</w:t>
                  </w:r>
                </w:p>
                <w:p>
                  <w:pPr>
                    <w:pStyle w:val="null3"/>
                    <w:ind w:firstLine="420"/>
                    <w:jc w:val="both"/>
                  </w:pPr>
                  <w:r>
                    <w:rPr>
                      <w:rFonts w:ascii="仿宋_GB2312" w:hAnsi="仿宋_GB2312" w:cs="仿宋_GB2312" w:eastAsia="仿宋_GB2312"/>
                      <w:sz w:val="21"/>
                      <w:color w:val="000000"/>
                    </w:rPr>
                    <w:t>1、采用≥1300 万像素摄像头；采用内置 USB 供电。</w:t>
                  </w:r>
                </w:p>
                <w:p>
                  <w:pPr>
                    <w:pStyle w:val="null3"/>
                    <w:ind w:firstLine="420"/>
                    <w:jc w:val="both"/>
                  </w:pPr>
                  <w:r>
                    <w:rPr>
                      <w:rFonts w:ascii="仿宋_GB2312" w:hAnsi="仿宋_GB2312" w:cs="仿宋_GB2312" w:eastAsia="仿宋_GB2312"/>
                      <w:sz w:val="21"/>
                      <w:color w:val="000000"/>
                    </w:rPr>
                    <w:t>2、≥A4大小拍摄幅面，≥1080P动态视频预览达到≥30 帧/秒；托板可承重≥3kg，整机支持壁挂式安装。</w:t>
                  </w:r>
                </w:p>
                <w:p>
                  <w:pPr>
                    <w:pStyle w:val="null3"/>
                    <w:ind w:firstLine="420"/>
                    <w:jc w:val="both"/>
                  </w:pPr>
                  <w:r>
                    <w:rPr>
                      <w:rFonts w:ascii="仿宋_GB2312" w:hAnsi="仿宋_GB2312" w:cs="仿宋_GB2312" w:eastAsia="仿宋_GB2312"/>
                      <w:sz w:val="21"/>
                      <w:color w:val="000000"/>
                    </w:rPr>
                    <w:t>3、支持展台成像画面实时批注，预设多种</w:t>
                  </w:r>
                  <w:r>
                    <w:rPr>
                      <w:rFonts w:ascii="仿宋_GB2312" w:hAnsi="仿宋_GB2312" w:cs="仿宋_GB2312" w:eastAsia="仿宋_GB2312"/>
                      <w:sz w:val="21"/>
                      <w:color w:val="000000"/>
                    </w:rPr>
                    <w:t>笔画</w:t>
                  </w:r>
                  <w:r>
                    <w:rPr>
                      <w:rFonts w:ascii="仿宋_GB2312" w:hAnsi="仿宋_GB2312" w:cs="仿宋_GB2312" w:eastAsia="仿宋_GB2312"/>
                      <w:sz w:val="21"/>
                      <w:color w:val="000000"/>
                    </w:rPr>
                    <w:t>粗细及颜色供选择，且支持对展台成像画面</w:t>
                  </w:r>
                  <w:r>
                    <w:rPr>
                      <w:rFonts w:ascii="仿宋_GB2312" w:hAnsi="仿宋_GB2312" w:cs="仿宋_GB2312" w:eastAsia="仿宋_GB2312"/>
                      <w:sz w:val="21"/>
                      <w:color w:val="000000"/>
                    </w:rPr>
                    <w:t>连同</w:t>
                  </w:r>
                  <w:r>
                    <w:rPr>
                      <w:rFonts w:ascii="仿宋_GB2312" w:hAnsi="仿宋_GB2312" w:cs="仿宋_GB2312" w:eastAsia="仿宋_GB2312"/>
                      <w:sz w:val="21"/>
                      <w:color w:val="000000"/>
                    </w:rPr>
                    <w:t>批注内容进行同步缩放、移动。</w:t>
                  </w:r>
                </w:p>
                <w:p>
                  <w:pPr>
                    <w:pStyle w:val="null3"/>
                    <w:ind w:firstLine="420"/>
                    <w:jc w:val="both"/>
                  </w:pPr>
                  <w:r>
                    <w:rPr>
                      <w:rFonts w:ascii="仿宋_GB2312" w:hAnsi="仿宋_GB2312" w:cs="仿宋_GB2312" w:eastAsia="仿宋_GB2312"/>
                      <w:sz w:val="21"/>
                      <w:color w:val="000000"/>
                    </w:rPr>
                    <w:t>4、展示托板上方具备LED补光灯，补光灯可通过智慧黑板中的软件控制开关；</w:t>
                  </w:r>
                </w:p>
                <w:p>
                  <w:pPr>
                    <w:pStyle w:val="null3"/>
                    <w:ind w:firstLine="420"/>
                    <w:jc w:val="both"/>
                  </w:pPr>
                  <w:r>
                    <w:rPr>
                      <w:rFonts w:ascii="仿宋_GB2312" w:hAnsi="仿宋_GB2312" w:cs="仿宋_GB2312" w:eastAsia="仿宋_GB2312"/>
                      <w:sz w:val="21"/>
                      <w:color w:val="000000"/>
                    </w:rPr>
                    <w:t>5、带自动对焦摄像头；带保护镜片，防护等级≥IP4X级别。</w:t>
                  </w:r>
                </w:p>
                <w:p>
                  <w:pPr>
                    <w:pStyle w:val="null3"/>
                    <w:ind w:firstLine="420"/>
                    <w:jc w:val="both"/>
                  </w:pPr>
                  <w:r>
                    <w:rPr>
                      <w:rFonts w:ascii="仿宋_GB2312" w:hAnsi="仿宋_GB2312" w:cs="仿宋_GB2312" w:eastAsia="仿宋_GB2312"/>
                      <w:sz w:val="21"/>
                      <w:color w:val="000000"/>
                    </w:rPr>
                    <w:t>6、视频展台与智慧黑板为同一品牌</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▲视频展台能直接被智慧黑板备授课软件流畅调用打开，无需安装第三方软件。</w:t>
                  </w:r>
                </w:p>
                <w:p>
                  <w:pPr>
                    <w:pStyle w:val="null3"/>
                    <w:ind w:firstLine="422"/>
                    <w:jc w:val="both"/>
                  </w:pPr>
                  <w:r>
                    <w:rPr>
                      <w:rFonts w:ascii="仿宋_GB2312" w:hAnsi="仿宋_GB2312" w:cs="仿宋_GB2312" w:eastAsia="仿宋_GB2312"/>
                      <w:sz w:val="21"/>
                      <w:b/>
                      <w:color w:val="000000"/>
                    </w:rPr>
                    <w:t>二、外置挂架音箱</w:t>
                  </w:r>
                  <w:r>
                    <w:rPr>
                      <w:rFonts w:ascii="仿宋_GB2312" w:hAnsi="仿宋_GB2312" w:cs="仿宋_GB2312" w:eastAsia="仿宋_GB2312"/>
                      <w:sz w:val="21"/>
                      <w:b/>
                      <w:color w:val="000000"/>
                    </w:rPr>
                    <w:t>与麦克风</w:t>
                  </w:r>
                </w:p>
                <w:p>
                  <w:pPr>
                    <w:pStyle w:val="null3"/>
                    <w:ind w:firstLine="420"/>
                    <w:jc w:val="both"/>
                  </w:pPr>
                  <w:r>
                    <w:rPr>
                      <w:rFonts w:ascii="仿宋_GB2312" w:hAnsi="仿宋_GB2312" w:cs="仿宋_GB2312" w:eastAsia="仿宋_GB2312"/>
                      <w:sz w:val="21"/>
                      <w:color w:val="000000"/>
                    </w:rPr>
                    <w:t>双音箱有线连接；端口：电源接口</w:t>
                  </w:r>
                  <w:r>
                    <w:rPr>
                      <w:rFonts w:ascii="仿宋_GB2312" w:hAnsi="仿宋_GB2312" w:cs="仿宋_GB2312" w:eastAsia="仿宋_GB2312"/>
                      <w:sz w:val="21"/>
                      <w:color w:val="000000"/>
                    </w:rPr>
                    <w:t>≥1个、Line in≥1个、USB≥1个；</w:t>
                  </w:r>
                  <w:r>
                    <w:rPr>
                      <w:rFonts w:ascii="仿宋_GB2312" w:hAnsi="仿宋_GB2312" w:cs="仿宋_GB2312" w:eastAsia="仿宋_GB2312"/>
                      <w:sz w:val="21"/>
                      <w:color w:val="000000"/>
                    </w:rPr>
                    <w:t>带蓝牙功能；</w:t>
                  </w:r>
                  <w:r>
                    <w:rPr>
                      <w:rFonts w:ascii="仿宋_GB2312" w:hAnsi="仿宋_GB2312" w:cs="仿宋_GB2312" w:eastAsia="仿宋_GB2312"/>
                      <w:sz w:val="21"/>
                      <w:color w:val="000000"/>
                    </w:rPr>
                    <w:t>距离音箱</w:t>
                  </w:r>
                  <w:r>
                    <w:rPr>
                      <w:rFonts w:ascii="仿宋_GB2312" w:hAnsi="仿宋_GB2312" w:cs="仿宋_GB2312" w:eastAsia="仿宋_GB2312"/>
                      <w:sz w:val="21"/>
                      <w:color w:val="000000"/>
                    </w:rPr>
                    <w:t>10米处声压级≥75dB；支持扩声和输入音源叠加输出。</w:t>
                  </w:r>
                  <w:r>
                    <w:rPr>
                      <w:rFonts w:ascii="仿宋_GB2312" w:hAnsi="仿宋_GB2312" w:cs="仿宋_GB2312" w:eastAsia="仿宋_GB2312"/>
                      <w:sz w:val="21"/>
                      <w:color w:val="000000"/>
                    </w:rPr>
                    <w:t>领夹式无线麦克风</w:t>
                  </w:r>
                  <w:r>
                    <w:rPr>
                      <w:rFonts w:ascii="仿宋_GB2312" w:hAnsi="仿宋_GB2312" w:cs="仿宋_GB2312" w:eastAsia="仿宋_GB2312"/>
                      <w:sz w:val="21"/>
                      <w:color w:val="000000"/>
                    </w:rPr>
                    <w:t>≥</w:t>
                  </w:r>
                  <w:r>
                    <w:rPr>
                      <w:rFonts w:ascii="仿宋_GB2312" w:hAnsi="仿宋_GB2312" w:cs="仿宋_GB2312" w:eastAsia="仿宋_GB2312"/>
                      <w:sz w:val="21"/>
                      <w:color w:val="000000"/>
                    </w:rPr>
                    <w:t>1个，能与音箱直连。</w:t>
                  </w:r>
                </w:p>
                <w:p>
                  <w:pPr>
                    <w:pStyle w:val="null3"/>
                    <w:ind w:firstLine="422"/>
                    <w:jc w:val="both"/>
                  </w:pPr>
                  <w:r>
                    <w:rPr>
                      <w:rFonts w:ascii="仿宋_GB2312" w:hAnsi="仿宋_GB2312" w:cs="仿宋_GB2312" w:eastAsia="仿宋_GB2312"/>
                      <w:sz w:val="21"/>
                      <w:b/>
                      <w:color w:val="000000"/>
                    </w:rPr>
                    <w:t>三、无线键盘、鼠标与教鞭</w:t>
                  </w:r>
                </w:p>
                <w:p>
                  <w:pPr>
                    <w:pStyle w:val="null3"/>
                    <w:ind w:firstLine="420"/>
                    <w:jc w:val="left"/>
                  </w:pPr>
                  <w:r>
                    <w:rPr>
                      <w:rFonts w:ascii="仿宋_GB2312" w:hAnsi="仿宋_GB2312" w:cs="仿宋_GB2312" w:eastAsia="仿宋_GB2312"/>
                      <w:sz w:val="21"/>
                      <w:color w:val="000000"/>
                    </w:rPr>
                    <w:t>1、键盘背光灯效：无背光，带大写字符指示灯</w:t>
                  </w:r>
                </w:p>
                <w:p>
                  <w:pPr>
                    <w:pStyle w:val="null3"/>
                    <w:ind w:firstLine="420"/>
                    <w:jc w:val="left"/>
                  </w:pPr>
                  <w:r>
                    <w:rPr>
                      <w:rFonts w:ascii="仿宋_GB2312" w:hAnsi="仿宋_GB2312" w:cs="仿宋_GB2312" w:eastAsia="仿宋_GB2312"/>
                      <w:sz w:val="21"/>
                      <w:color w:val="000000"/>
                    </w:rPr>
                    <w:t>2、键盘按键数：</w:t>
                  </w:r>
                  <w:r>
                    <w:rPr>
                      <w:rFonts w:ascii="仿宋_GB2312" w:hAnsi="仿宋_GB2312" w:cs="仿宋_GB2312" w:eastAsia="仿宋_GB2312"/>
                      <w:sz w:val="21"/>
                      <w:color w:val="000000"/>
                    </w:rPr>
                    <w:t>≥</w:t>
                  </w:r>
                  <w:r>
                    <w:rPr>
                      <w:rFonts w:ascii="仿宋_GB2312" w:hAnsi="仿宋_GB2312" w:cs="仿宋_GB2312" w:eastAsia="仿宋_GB2312"/>
                      <w:sz w:val="21"/>
                      <w:color w:val="000000"/>
                    </w:rPr>
                    <w:t>100键，有数字小键盘</w:t>
                  </w:r>
                </w:p>
                <w:p>
                  <w:pPr>
                    <w:pStyle w:val="null3"/>
                    <w:ind w:firstLine="420"/>
                    <w:jc w:val="left"/>
                  </w:pPr>
                  <w:r>
                    <w:rPr>
                      <w:rFonts w:ascii="仿宋_GB2312" w:hAnsi="仿宋_GB2312" w:cs="仿宋_GB2312" w:eastAsia="仿宋_GB2312"/>
                      <w:sz w:val="21"/>
                      <w:color w:val="000000"/>
                    </w:rPr>
                    <w:t>3、键盘鼠标连接方式：无线</w:t>
                  </w:r>
                </w:p>
                <w:p>
                  <w:pPr>
                    <w:pStyle w:val="null3"/>
                    <w:ind w:firstLine="420"/>
                    <w:jc w:val="left"/>
                  </w:pPr>
                  <w:r>
                    <w:rPr>
                      <w:rFonts w:ascii="仿宋_GB2312" w:hAnsi="仿宋_GB2312" w:cs="仿宋_GB2312" w:eastAsia="仿宋_GB2312"/>
                      <w:sz w:val="21"/>
                      <w:color w:val="000000"/>
                    </w:rPr>
                    <w:t>4、每套系统带两支伸缩式教鞭，支持大屏书写点击。</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129</w:t>
                  </w:r>
                </w:p>
              </w:tc>
              <w:tc>
                <w:tcPr>
                  <w:tcW w:type="dxa" w:w="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套</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合同签订后60日内完成项目交货、安装、调试。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镇巴县教育体育局指定地点（全县28所学校）</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预付款，签订合同后，乙方书面提出支付申请函及与支付金额等额的增值税普通发票，甲方确认后启动首期款支付流程，达到付款条件起22个工作日内，支付合同总金额的30.0%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进度款，乙方交货并安装调试完毕后，乙方书面提出支付申请函及与支付金额等额的增值税普通发票，甲方确认后启动尾款支付流程，达到付款条件起22个工作日内，支付合同总金额的50.0%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进度款，本项目经甲方验收合格后，乙方书面提出支付申请函及与支付金额等额的增值税普通发票，甲方确认后启动支付流程，达到付款条件起22个工作日内，支付合同总金额的15.0%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进度款，验收合格后，达到付款条件起70个工作日内，支付合同总金额的5.0%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国内相应的标准、规范；合同文本、合同附件、招标文件、投标文件。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按照国家相关规定执行，验收合格之日起5年。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采购人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供应商需在项目电子化交易系统中按要求填写《投标函》及《汉中市政府采购供应商资格承诺函》完成承诺并进行电子签章。</w:t>
            </w:r>
          </w:p>
        </w:tc>
        <w:tc>
          <w:tcPr>
            <w:tcW w:type="dxa" w:w="1661"/>
          </w:tcPr>
          <w:p>
            <w:pPr>
              <w:pStyle w:val="null3"/>
            </w:pPr>
            <w:r>
              <w:rPr>
                <w:rFonts w:ascii="仿宋_GB2312" w:hAnsi="仿宋_GB2312" w:cs="仿宋_GB2312" w:eastAsia="仿宋_GB2312"/>
              </w:rPr>
              <w:t>投标函 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供应商需在项目电子化交易系统中按要求填写《投标函》及《汉中市政府采购供应商资格承诺函》完成承诺并进行电子签章。</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投标人在递交投标文件截止时间前被“信用中国”网站（www.creditchina.gov.cn）和中国政府采购网（www.ccgp.gov.cn）上被列入失信被执行人、重大税收违法失信主体、政府采购严重违法失信行为记录名单的，不得参加投标；</w:t>
            </w:r>
          </w:p>
        </w:tc>
        <w:tc>
          <w:tcPr>
            <w:tcW w:type="dxa" w:w="1661"/>
          </w:tcPr>
          <w:p>
            <w:pPr>
              <w:pStyle w:val="null3"/>
            </w:pPr>
            <w:r>
              <w:rPr>
                <w:rFonts w:ascii="仿宋_GB2312" w:hAnsi="仿宋_GB2312" w:cs="仿宋_GB2312" w:eastAsia="仿宋_GB2312"/>
              </w:rPr>
              <w:t>汉中市政府采购供应商资格承诺函.docx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异常低价审查 1.评审中出现下列情形之一的，评标委员会应当启动异常低价投标审查程序：（1）投标报价低于全部通过符合性审查供应商投标报价平均值50%的，即投标报价&lt;全部通过符合性审查供应商投标报价平均值×50%；（2）投标报价低于通过符合性审查的次低报价供应商投标报价50%的，即投标报价&lt;通过符合性审查的次低报价供应商投标报价×50%；（3）投标报价低于采购项目最高限价45%的，即投标报价&lt;采购项目最高限价×45%；（4）评标委员会基于专业判断，认为供应商报价过低，有可能影响产品质量或者不能诚信履约的其他情形。 相关法律法规对供应商报价有规定的，从其规定。 2.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tc>
        <w:tc>
          <w:tcPr>
            <w:tcW w:type="dxa" w:w="1661"/>
          </w:tcPr>
          <w:p>
            <w:pPr>
              <w:pStyle w:val="null3"/>
            </w:pPr>
            <w:r>
              <w:rPr>
                <w:rFonts w:ascii="仿宋_GB2312" w:hAnsi="仿宋_GB2312" w:cs="仿宋_GB2312" w:eastAsia="仿宋_GB2312"/>
              </w:rPr>
              <w:t>开标一览表 投标分项报价表.docx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产品技术参数表 投标函 商务应答表 商务及技术偏离及证明资料.docx 投标文件封面 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投标人投标报价没有超出采购预算或最高限价或单价最高限价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投标内容不存在漏项或数量与要求不符合招标文件规定情形，投标内容满足招标文件的商务、技术等实质性要求，不存在采购档次降低或影响采购性能、功能的情形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商务及技术偏离及证明资料.docx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遵循公平竞争的原则，没有弄虚作假、恶意串通或妨碍其他投标人的竞争行为；不损害采购人或者其他投标人的合法权益。</w:t>
            </w:r>
          </w:p>
        </w:tc>
        <w:tc>
          <w:tcPr>
            <w:tcW w:type="dxa" w:w="1661"/>
          </w:tcPr>
          <w:p>
            <w:pPr>
              <w:pStyle w:val="null3"/>
            </w:pPr>
            <w:r>
              <w:rPr>
                <w:rFonts w:ascii="仿宋_GB2312" w:hAnsi="仿宋_GB2312" w:cs="仿宋_GB2312" w:eastAsia="仿宋_GB2312"/>
              </w:rPr>
              <w:t>开标一览表 标的清单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投标产品的技术指标参数清楚、明确有相应齐全的技术资料；并根据技术指标响应情况评审；全部满足技术标准要求得基础分25分； 技术指标中标“▲”项技术参数，每有1项负偏离扣2分，其他一般参数每有1项负偏离扣1分，扣完为止。 标“▲”项需提供证明材料；证明材料包括但不限于产品说明书、官网截图、检测报告、技术白皮书等技术支持性文件资料。技术偏离表与证明资料文件中不一致的，以证明资料文件为准。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商务及技术偏离及证明资料.docx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提供投标人2023年1月1日至开标前类似项目业绩（以合同签订日期为准），须提供合同复印件加盖公章，提供不全不计分，每提供一份计2分，此项共计10分。 注：类似项目业绩证明资料以投标人加盖公章的合同、验收报告及发票复印件或扫描件为准，投标人须为合同中的直接履约方；关键信息模糊不清或无法核实的，视为无效业绩。</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投标人所投产品含有属于政府优先采购产品类别的产品，须按照《财政部发展改革委生态环境部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要求提供国家确定的认证机构出具的、处于有效期之内的节能产品或环境标志产品认证证书，每提供一个得1分，满分2分。政府强制采购产品不予加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商务及技术偏离及证明资料.docx</w:t>
            </w:r>
          </w:p>
        </w:tc>
      </w:tr>
      <w:tr>
        <w:tc>
          <w:tcPr>
            <w:tcW w:type="dxa" w:w="831"/>
            <w:vMerge/>
          </w:tcPr>
          <w:p/>
        </w:tc>
        <w:tc>
          <w:tcPr>
            <w:tcW w:type="dxa" w:w="1661"/>
          </w:tcPr>
          <w:p>
            <w:pPr>
              <w:pStyle w:val="null3"/>
            </w:pPr>
            <w:r>
              <w:rPr>
                <w:rFonts w:ascii="仿宋_GB2312" w:hAnsi="仿宋_GB2312" w:cs="仿宋_GB2312" w:eastAsia="仿宋_GB2312"/>
              </w:rPr>
              <w:t>产品渠道</w:t>
            </w:r>
          </w:p>
        </w:tc>
        <w:tc>
          <w:tcPr>
            <w:tcW w:type="dxa" w:w="2492"/>
          </w:tcPr>
          <w:p>
            <w:pPr>
              <w:pStyle w:val="null3"/>
            </w:pPr>
            <w:r>
              <w:rPr>
                <w:rFonts w:ascii="仿宋_GB2312" w:hAnsi="仿宋_GB2312" w:cs="仿宋_GB2312" w:eastAsia="仿宋_GB2312"/>
              </w:rPr>
              <w:t>提供所投产品的合法来源渠道证明材料（包括但不限于厂家授权、销售协议、代理协议等）。每提供一个得3分；未提供不得分。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商务及技术偏离及证明资料.docx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投标人根据本项目的服务要求配备符合项目需求的团队人员，并按照以下标准评审： ①委派项目负责人具备中级及以上职称的的得2分； ②项目负责人具备同类项目实施经验的得2分；（提供业绩合同或业主证明资料）； ③委派项目团队人员具备与项目实施（音视频、计算机等类）相关技能证书、职称证书等，每有1人具备得1分，最多得4分； ④提供详细的人员清单，包含运输包装人员、售后服务人员、培训人员等得2分。 注：以上人员均需提供本单位缴纳的劳动合同或社保证明资料；否则不予认可。</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拟投入专业人员.docx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根据投标人对项目理解分析，提供各个环节的专项的实施方案，包含但不限于①生产（采购）、运输、包装方案②安装、调试方案；③运行维护方案；④实施进度保障方案；⑤质量保障方案；⑥应急及验收方案并按照以下标准评审： 二、评审标准 1.完整性：方案必须全面，对评审内容中的各项要求有详细描述； 2.可实施性：切合本项目实际情况，提出步骤清晰、合理的方案； 3.针对性：方案能够紧扣项目实际情况，内容科学合理。 三、赋分标准（满分15分） 1.生产（采购）、运输、包装方案：每满足一个评审标准得1分，不满足得0分，满分3分； 2.安装、调试方案：每满足一个评审标准得1分，不满足得0分，满分3分； 3.运行维护方案：每满足一个评审标准得0.5分，不满足得0分，满分1.5分； 4.实施进度保障方案：每满足一个评审标准得0.5分，不满足得0分，满分1.5分； 5.质量保障方案：每满足一个评审标准得1分，不满足得0分，满分3分； 6.应急及验收方案：每满足一个评审标准得1分，不满足得0分，满分3分。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应制定详细的培训方案，培训方案包括：①培训内容②培训周期及人员安排。根据内容的完整性（方案必须全面，对评审内容中的各项要求有详细描述）、针对性（方案能紧扣项目实际情况，内容科学合理）、合理性（切合本项目实际情况，提出步骤清晰、合理的方案），每项内容完全满足得1分，每有一定缺陷扣0.5分，满分2分，未提供不得分。缺陷指完整性不足，或针对性不强或不够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针对本项目的售后服务方案，包括：①售后服务人员配置及联系电话；②售后服务响应时间；③售后服务承诺。根据内容的完整性（方案必须全面，对评审内容中的各项要求有详细描述）、针对性（方案能紧扣项目实际情况，内容科学合理）、合理性（切合本项目实际情况，提出步骤清晰、合理的方案），每项内容完全满足得1分，每有一项具有缺陷扣0.5分，满分3分，未提供不得分。缺陷指完整性不足，或针对性不强或不够合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满足招标文件要求且投标价格最低的投标报价为评标基准价，其价格分为满分。其他投标人的价格分统一按照下列公式计算：投标报价得分=（评标基准价/投标报价）×价格权值（30分）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详见附件：商务及技术偏离及证明资料.docx</w:t>
      </w:r>
    </w:p>
    <w:p>
      <w:pPr>
        <w:pStyle w:val="null3"/>
        <w:ind w:firstLine="960"/>
      </w:pPr>
      <w:r>
        <w:rPr>
          <w:rFonts w:ascii="仿宋_GB2312" w:hAnsi="仿宋_GB2312" w:cs="仿宋_GB2312" w:eastAsia="仿宋_GB2312"/>
        </w:rPr>
        <w:t>详见附件：投标分项报价表.docx</w:t>
      </w:r>
    </w:p>
    <w:p>
      <w:pPr>
        <w:pStyle w:val="null3"/>
        <w:ind w:firstLine="960"/>
      </w:pPr>
      <w:r>
        <w:rPr>
          <w:rFonts w:ascii="仿宋_GB2312" w:hAnsi="仿宋_GB2312" w:cs="仿宋_GB2312" w:eastAsia="仿宋_GB2312"/>
        </w:rPr>
        <w:t>详见附件：拟投入专业人员.docx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