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版本号：JZZB-【2026】-1920260713002</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西安市鄠邑区综治视联网服务项目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JZZB-【2026】-19</w:t>
      </w:r>
      <w:r>
        <w:br/>
      </w:r>
      <w:r>
        <w:br/>
      </w:r>
      <w:r>
        <w:br/>
      </w:r>
    </w:p>
    <w:p>
      <w:pPr>
        <w:pStyle w:val="null3"/>
        <w:jc w:val="center"/>
        <w:outlineLvl w:val="5"/>
      </w:pPr>
      <w:r>
        <w:rPr>
          <w:rFonts w:ascii="仿宋_GB2312" w:hAnsi="仿宋_GB2312" w:cs="仿宋_GB2312" w:eastAsia="仿宋_GB2312"/>
          <w:sz w:val="15"/>
          <w:b/>
        </w:rPr>
        <w:t>中国共产党西安市鄠邑区委员会政法委员会</w:t>
      </w:r>
    </w:p>
    <w:p>
      <w:pPr>
        <w:pStyle w:val="null3"/>
        <w:jc w:val="center"/>
        <w:outlineLvl w:val="5"/>
      </w:pPr>
      <w:r>
        <w:rPr>
          <w:rFonts w:ascii="仿宋_GB2312" w:hAnsi="仿宋_GB2312" w:cs="仿宋_GB2312" w:eastAsia="仿宋_GB2312"/>
          <w:sz w:val="15"/>
          <w:b/>
        </w:rPr>
        <w:t>陕西金泽盛业项目管理有限公司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陕西金泽盛业项目管理有限公司</w:t>
      </w:r>
      <w:r>
        <w:rPr>
          <w:rFonts w:ascii="仿宋_GB2312" w:hAnsi="仿宋_GB2312" w:cs="仿宋_GB2312" w:eastAsia="仿宋_GB2312"/>
        </w:rPr>
        <w:t>（以下简称“代理机构”）受</w:t>
      </w:r>
      <w:r>
        <w:rPr>
          <w:rFonts w:ascii="仿宋_GB2312" w:hAnsi="仿宋_GB2312" w:cs="仿宋_GB2312" w:eastAsia="仿宋_GB2312"/>
        </w:rPr>
        <w:t>中国共产党西安市鄠邑区委员会政法委员会</w:t>
      </w:r>
      <w:r>
        <w:rPr>
          <w:rFonts w:ascii="仿宋_GB2312" w:hAnsi="仿宋_GB2312" w:cs="仿宋_GB2312" w:eastAsia="仿宋_GB2312"/>
        </w:rPr>
        <w:t>委托，拟对</w:t>
      </w:r>
      <w:r>
        <w:rPr>
          <w:rFonts w:ascii="仿宋_GB2312" w:hAnsi="仿宋_GB2312" w:cs="仿宋_GB2312" w:eastAsia="仿宋_GB2312"/>
        </w:rPr>
        <w:t>西安市鄠邑区综治视联网服务项目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JZZB-【2026】-19</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西安市鄠邑区综治视联网服务项目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综治中心配备了视联网核心交换服务器、核心交换机以及接入交换机，需要对全区所有视联网点位进行接入汇聚和数据交换，最终实现省、市、县（区）、镇、村社区的互联互通。</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企业法人应提供具有社会统一信用代码的营业执照，事业单位应提供事业单位法人证书，其他组织应提供合法登记证明文件，自然人应提供身份证，所有证件应合法有效。</w:t>
      </w:r>
    </w:p>
    <w:p>
      <w:pPr>
        <w:pStyle w:val="null3"/>
      </w:pPr>
      <w:r>
        <w:rPr>
          <w:rFonts w:ascii="仿宋_GB2312" w:hAnsi="仿宋_GB2312" w:cs="仿宋_GB2312" w:eastAsia="仿宋_GB2312"/>
        </w:rPr>
        <w:t>2、法定代表人身份证明/授权委托书：法定代表人/负责人直接参加的，只须递交《法定代表人/负责人身份证明》；法定代表人/负责人授权代表参加的，须递交《法定代表人/负责人授权书》并进行电子签章。</w:t>
      </w:r>
    </w:p>
    <w:p>
      <w:pPr>
        <w:pStyle w:val="null3"/>
      </w:pPr>
      <w:r>
        <w:rPr>
          <w:rFonts w:ascii="仿宋_GB2312" w:hAnsi="仿宋_GB2312" w:cs="仿宋_GB2312" w:eastAsia="仿宋_GB2312"/>
        </w:rPr>
        <w:t>3、书面声明：（1）参加政府采购活动前三年内，在经营活动中没有重大违法记录的书面声明；（2）提供具有履行本合同所必需的设备和专业技术能力的声明。供应商需在项目电子化交易系统中按要求上传相应书面声明文件并进行电子签章。</w:t>
      </w:r>
    </w:p>
    <w:p>
      <w:pPr>
        <w:pStyle w:val="null3"/>
      </w:pPr>
      <w:r>
        <w:rPr>
          <w:rFonts w:ascii="仿宋_GB2312" w:hAnsi="仿宋_GB2312" w:cs="仿宋_GB2312" w:eastAsia="仿宋_GB2312"/>
        </w:rPr>
        <w:t>4、控股关系：单位负责人为同一人或者存在直接控股、管理关系的不同供应商，不得参加同一合同项下的政府采购活动。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5、信用中国：供应商不得为“信用中国”网站（www.creditchina.gov.cn）中被列入失信被执行人、重大税收违法失信主体名单和中国政府采购网（www.ccgp.gov.cn）中被列入政府采购严重违法失信行为记录名单的单位，提供相应截图并进行电子签章。</w:t>
      </w:r>
    </w:p>
    <w:p>
      <w:pPr>
        <w:pStyle w:val="null3"/>
      </w:pPr>
      <w:r>
        <w:rPr>
          <w:rFonts w:ascii="仿宋_GB2312" w:hAnsi="仿宋_GB2312" w:cs="仿宋_GB2312" w:eastAsia="仿宋_GB2312"/>
        </w:rPr>
        <w:t>6、税收缴纳证明：提供自2025年7月以来至少一个月的纳税证明或完税证明，纳税证明或完税证明上应有代收机构或税务机关的公章或业务专用章；其他组织和自然人提供自2025年7月以来至少一个月缴纳税收的凭据；依法免税的供应商应提供相关文件证明；并进行电子签章。</w:t>
      </w:r>
    </w:p>
    <w:p>
      <w:pPr>
        <w:pStyle w:val="null3"/>
      </w:pPr>
      <w:r>
        <w:rPr>
          <w:rFonts w:ascii="仿宋_GB2312" w:hAnsi="仿宋_GB2312" w:cs="仿宋_GB2312" w:eastAsia="仿宋_GB2312"/>
        </w:rPr>
        <w:t>7、社会保障资金缴纳证明：提供自2025年7月以来至少一个月已缴纳的社会保障资金的证明（社会保障资金缴存单据或社保机构开具的社会保险参保缴费情况证明等)；依法不需要缴纳社会保障资金的供应商应提供相关证明文件；并进行电子签章。</w:t>
      </w:r>
    </w:p>
    <w:p>
      <w:pPr>
        <w:pStyle w:val="null3"/>
      </w:pPr>
      <w:r>
        <w:rPr>
          <w:rFonts w:ascii="仿宋_GB2312" w:hAnsi="仿宋_GB2312" w:cs="仿宋_GB2312" w:eastAsia="仿宋_GB2312"/>
        </w:rPr>
        <w:t>8、非联合体声明：本项目不接受联合体投标</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中国共产党西安市鄠邑区委员会政法委员会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西安市鄠邑区东大街7号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王亚妮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84828266</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陕西金泽盛业项目管理有限公司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西安市经济技术开发区凤城五路 123 号秦创原软科中心A座20层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高翠翠、张磊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15129916640</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采购包1：840,000.00元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采购包1：840,000.00元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本采购包项目中标价为基数，按国家计委关于印发《招标代理服务收费管理暂行办法》的通知（计价格【2002】1980号）《国家发展改革委关于降低部分建设项目收费标准规范收费行为等有关问题的通知》（发改价格[2011]534号）规定计取招标代理服务费。2、支付方式：成交供应商在领取通知书的同时，支付本项目代理服务费。 收款单位：陕西金泽盛业项目管理有限公司 开户行：北京银行股份有限公司西安大明宫支行 账号： 200000 430482 000331 80933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中国共产党西安市鄠邑区委员会政法委员会</w:t>
      </w:r>
      <w:r>
        <w:rPr>
          <w:rFonts w:ascii="仿宋_GB2312" w:hAnsi="仿宋_GB2312" w:cs="仿宋_GB2312" w:eastAsia="仿宋_GB2312"/>
        </w:rPr>
        <w:t>和</w:t>
      </w:r>
      <w:r>
        <w:rPr>
          <w:rFonts w:ascii="仿宋_GB2312" w:hAnsi="仿宋_GB2312" w:cs="仿宋_GB2312" w:eastAsia="仿宋_GB2312"/>
        </w:rPr>
        <w:t>陕西金泽盛业项目管理有限公司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陕西金泽盛业项目管理有限公司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中国共产党西安市鄠邑区委员会政法委员会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陕西金泽盛业项目管理有限公司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3.如采用供应商所不拥有的知识产权，则在报价中必须包括合法使用该知识产权的相关费用。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按照通信行业规范验收，保障设备正常可用。</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联系人：张磊</w:t>
      </w:r>
    </w:p>
    <w:p>
      <w:pPr>
        <w:pStyle w:val="null3"/>
      </w:pPr>
      <w:r>
        <w:rPr>
          <w:rFonts w:ascii="仿宋_GB2312" w:hAnsi="仿宋_GB2312" w:cs="仿宋_GB2312" w:eastAsia="仿宋_GB2312"/>
        </w:rPr>
        <w:t>联系电话：15129916640</w:t>
      </w:r>
    </w:p>
    <w:p>
      <w:pPr>
        <w:pStyle w:val="null3"/>
      </w:pPr>
      <w:r>
        <w:rPr>
          <w:rFonts w:ascii="仿宋_GB2312" w:hAnsi="仿宋_GB2312" w:cs="仿宋_GB2312" w:eastAsia="仿宋_GB2312"/>
        </w:rPr>
        <w:t>地址：西安市经济技术开发区凤城五路 123 号秦创原软科中心A座20层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综治中心配备了视联网核心交换服务器、核心交换机以及接入交换机，需要对全区所有视联网点位进行接入汇聚和数据交换，最终实现省、市、县（区）、镇、村社区的互联互通。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840,000.00</w:t>
      </w:r>
    </w:p>
    <w:p>
      <w:pPr>
        <w:pStyle w:val="null3"/>
      </w:pPr>
      <w:r>
        <w:rPr>
          <w:rFonts w:ascii="仿宋_GB2312" w:hAnsi="仿宋_GB2312" w:cs="仿宋_GB2312" w:eastAsia="仿宋_GB2312"/>
        </w:rPr>
        <w:t>采购包最高限价（元）: 840,000.00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西安市鄠邑区综治视联网服务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标的名称：西安市鄠邑区综治视联网服务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rPr>
              <w:t>带宽要求，即数据吞吐率，根据具体的业务要求来具体估算，推荐单个点位链路带宽不低于</w:t>
            </w:r>
            <w:r>
              <w:rPr>
                <w:rFonts w:ascii="仿宋_GB2312" w:hAnsi="仿宋_GB2312" w:cs="仿宋_GB2312" w:eastAsia="仿宋_GB2312"/>
                <w:sz w:val="28"/>
              </w:rPr>
              <w:t>1</w:t>
            </w:r>
            <w:r>
              <w:rPr>
                <w:rFonts w:ascii="仿宋_GB2312" w:hAnsi="仿宋_GB2312" w:cs="仿宋_GB2312" w:eastAsia="仿宋_GB2312"/>
                <w:sz w:val="28"/>
              </w:rPr>
              <w:t>0</w:t>
            </w:r>
            <w:r>
              <w:rPr>
                <w:rFonts w:ascii="仿宋_GB2312" w:hAnsi="仿宋_GB2312" w:cs="仿宋_GB2312" w:eastAsia="仿宋_GB2312"/>
                <w:sz w:val="28"/>
              </w:rPr>
              <w:t>0M，汇聚节点带宽（如区综治中心）推荐不低于1</w:t>
            </w:r>
            <w:r>
              <w:rPr>
                <w:rFonts w:ascii="仿宋_GB2312" w:hAnsi="仿宋_GB2312" w:cs="仿宋_GB2312" w:eastAsia="仿宋_GB2312"/>
                <w:sz w:val="28"/>
              </w:rPr>
              <w:t>G</w:t>
            </w:r>
            <w:r>
              <w:rPr>
                <w:rFonts w:ascii="仿宋_GB2312" w:hAnsi="仿宋_GB2312" w:cs="仿宋_GB2312" w:eastAsia="仿宋_GB2312"/>
                <w:sz w:val="28"/>
              </w:rPr>
              <w:t>，务必保证满足各业务带宽；</w:t>
            </w:r>
          </w:p>
          <w:p>
            <w:pPr>
              <w:pStyle w:val="null3"/>
              <w:jc w:val="both"/>
            </w:pPr>
            <w:r>
              <w:rPr>
                <w:rFonts w:ascii="仿宋_GB2312" w:hAnsi="仿宋_GB2312" w:cs="仿宋_GB2312" w:eastAsia="仿宋_GB2312"/>
                <w:sz w:val="28"/>
              </w:rPr>
              <w:t>延时要求，通常节点间延时应小于</w:t>
            </w:r>
            <w:r>
              <w:rPr>
                <w:rFonts w:ascii="仿宋_GB2312" w:hAnsi="仿宋_GB2312" w:cs="仿宋_GB2312" w:eastAsia="仿宋_GB2312"/>
                <w:sz w:val="28"/>
              </w:rPr>
              <w:t>120ms；</w:t>
            </w:r>
          </w:p>
          <w:p>
            <w:pPr>
              <w:pStyle w:val="null3"/>
            </w:pPr>
            <w:r>
              <w:rPr>
                <w:rFonts w:ascii="仿宋_GB2312" w:hAnsi="仿宋_GB2312" w:cs="仿宋_GB2312" w:eastAsia="仿宋_GB2312"/>
                <w:sz w:val="28"/>
              </w:rPr>
              <w:t>抖动要求，通常节点间抖动应小于</w:t>
            </w:r>
            <w:r>
              <w:rPr>
                <w:rFonts w:ascii="仿宋_GB2312" w:hAnsi="仿宋_GB2312" w:cs="仿宋_GB2312" w:eastAsia="仿宋_GB2312"/>
                <w:sz w:val="28"/>
              </w:rPr>
              <w:t>30ms；</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75"/>
              <w:tblBorders>
                <w:top w:val="none" w:color="000000" w:sz="4"/>
                <w:left w:val="none" w:color="000000" w:sz="4"/>
                <w:bottom w:val="none" w:color="000000" w:sz="4"/>
                <w:right w:val="none" w:color="000000" w:sz="4"/>
                <w:insideH w:val="none"/>
                <w:insideV w:val="none"/>
              </w:tblBorders>
            </w:tblPr>
            <w:tblGrid>
              <w:gridCol w:w="332"/>
              <w:gridCol w:w="553"/>
              <w:gridCol w:w="1668"/>
            </w:tblGrid>
            <w:tr>
              <w:tc>
                <w:tcPr>
                  <w:tcW w:type="dxa" w:w="3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序号</w:t>
                  </w:r>
                </w:p>
              </w:tc>
              <w:tc>
                <w:tcPr>
                  <w:tcW w:type="dxa" w:w="5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设备名称</w:t>
                  </w:r>
                </w:p>
              </w:tc>
              <w:tc>
                <w:tcPr>
                  <w:tcW w:type="dxa" w:w="16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r>
                    <w:rPr>
                      <w:rFonts w:ascii="仿宋_GB2312" w:hAnsi="仿宋_GB2312" w:cs="仿宋_GB2312" w:eastAsia="仿宋_GB2312"/>
                      <w:sz w:val="28"/>
                    </w:rPr>
                    <w:t>技术参数</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SDWAN CPE</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网络接口：</w:t>
                  </w:r>
                  <w:r>
                    <w:rPr>
                      <w:rFonts w:ascii="仿宋_GB2312" w:hAnsi="仿宋_GB2312" w:cs="仿宋_GB2312" w:eastAsia="仿宋_GB2312"/>
                      <w:sz w:val="28"/>
                    </w:rPr>
                    <w:t>8x10/100/1000Mbps RJ45，4 x 10 Gbps SFP, Bypass：1 Pair of Gen3；内存：DDR4 64GB；NAND存储：120GB SSD；电源选项：内置AC电源适配器；组网带宽：大于等于1.8Gbps；</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SDWAN CPE</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网络接口：</w:t>
                  </w:r>
                  <w:r>
                    <w:rPr>
                      <w:rFonts w:ascii="仿宋_GB2312" w:hAnsi="仿宋_GB2312" w:cs="仿宋_GB2312" w:eastAsia="仿宋_GB2312"/>
                      <w:sz w:val="28"/>
                    </w:rPr>
                    <w:t>5x10/100/1000Mbps,RJ45，4xLAN+1xWAN；Bypass：NA；内存：DDR3 256MB；NAND存储：32MB Flash；电源选项：外置AC-DC电源适配器；组网带宽：大于等于20Mbps；</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通信链路</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每个视联网终端带宽不低于</w:t>
                  </w:r>
                  <w:r>
                    <w:rPr>
                      <w:rFonts w:ascii="仿宋_GB2312" w:hAnsi="仿宋_GB2312" w:cs="仿宋_GB2312" w:eastAsia="仿宋_GB2312"/>
                      <w:sz w:val="28"/>
                    </w:rPr>
                    <w:t>100Mbps；</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光猫</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运营商免费租赁；</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系统集成服务</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设备安装、调试、维护；</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31"/>
              <w:gridCol w:w="2122"/>
            </w:tblGrid>
            <w:tr>
              <w:tc>
                <w:tcPr>
                  <w:tcW w:type="dxa" w:w="4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序号</w:t>
                  </w:r>
                </w:p>
              </w:tc>
              <w:tc>
                <w:tcPr>
                  <w:tcW w:type="dxa" w:w="2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技术要求</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8"/>
                    </w:rPr>
                    <w:t>1</w:t>
                  </w:r>
                </w:p>
              </w:tc>
              <w:tc>
                <w:tcPr>
                  <w:tcW w:type="dxa" w:w="2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8"/>
                    </w:rPr>
                    <w:t>▲站点之间支持基于互联网的二层互联，简化用户配置及对用户网络设备的要求，同时满足部分仅支持二层互联的业务场景需求。（投标时进行充分说明，中标后测试验证）</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8"/>
                    </w:rPr>
                    <w:t>2</w:t>
                  </w:r>
                </w:p>
              </w:tc>
              <w:tc>
                <w:tcPr>
                  <w:tcW w:type="dxa" w:w="2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8"/>
                    </w:rPr>
                    <w:t>▲SD-WAN设备需支持4G/5G接入，在本地互联网未开通或中断的情况下，可通过4G/5G网络快速完成上线交付。4G/5G模块应为内置，以降低硬件故障率。（投标时进行充分说明，中标后测试验证）</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8"/>
                    </w:rPr>
                    <w:t>3</w:t>
                  </w:r>
                </w:p>
              </w:tc>
              <w:tc>
                <w:tcPr>
                  <w:tcW w:type="dxa" w:w="2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8"/>
                    </w:rPr>
                    <w:t>★服务商所提供的SD-WAN网络服务应集成广域网优化技术，有效提升传输效率，对于网络质量敏感类业务（例如：视频会议），要求在50ms延时及30%丢包的网络质量下，依然可保障敏感类业务的流畅性（例如：视频会议清晰流畅、无卡顿和马赛克）；（投标时请在投标文件中进行充分说明，中标后测试验证）</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8"/>
                    </w:rPr>
                    <w:t>4</w:t>
                  </w:r>
                </w:p>
              </w:tc>
              <w:tc>
                <w:tcPr>
                  <w:tcW w:type="dxa" w:w="2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8"/>
                    </w:rPr>
                    <w:t>▲多链路接入时，SD-WAN设备需要支持多路冗余传输，可保障在发生链路切换时网络质量敏感类业务（例如：视频会议）依然能够正常传输，无卡顿、马赛克及中断现象。（投标时进行充分说明，中标后测试验证）</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8"/>
                    </w:rPr>
                    <w:t>5</w:t>
                  </w:r>
                </w:p>
              </w:tc>
              <w:tc>
                <w:tcPr>
                  <w:tcW w:type="dxa" w:w="2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8"/>
                    </w:rPr>
                    <w:t>▲服务商所提供的SD-WAN网络服务需支持采用国产密码算法和商用密码产品，基于端到端加密隧道保障业务数据传输安全，包括数据的机密性、完整性、真实性、不可否认性保护。端到端加密隧道对用户业务数据的所有加解密行为均由部署于用户侧的设备完成，骨干网传输过程中不允许存在对用户业务数据解密后再加密的行为，也不允许存在隧道终结的行为。（投标时进行充分说明，中标后测试验证）</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8"/>
                    </w:rPr>
                    <w:t>6</w:t>
                  </w:r>
                </w:p>
              </w:tc>
              <w:tc>
                <w:tcPr>
                  <w:tcW w:type="dxa" w:w="2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8"/>
                    </w:rPr>
                    <w:t>★服务商所提供的SD-WAN网络服务需提供可视化监控界面，以组网链路为单位， 提供实时带宽利用率、实时网络时延、丢包率、抖动、连接数、Top N流量等信息。相应监控指标均可保留历史数据并可查询。（投标时需提供截图并充分说明，中标后测试验证）</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8"/>
                    </w:rPr>
                    <w:t>7</w:t>
                  </w:r>
                </w:p>
              </w:tc>
              <w:tc>
                <w:tcPr>
                  <w:tcW w:type="dxa" w:w="2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8"/>
                    </w:rPr>
                    <w:t>▲服务商所提供的SD-WAN网络服务需提供完善的告警平台，告警方式支持以邮件、短信、电话等多种形式。（投标时进行充分说明，中标后测试验证）</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8"/>
                    </w:rPr>
                    <w:t>8</w:t>
                  </w:r>
                </w:p>
              </w:tc>
              <w:tc>
                <w:tcPr>
                  <w:tcW w:type="dxa" w:w="2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8"/>
                    </w:rPr>
                    <w:t>▲投标方提供完整的方案设计，包括解决方案、实施方案、运维方案等。</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8"/>
              </w:rPr>
              <w:t>服务期限（</w:t>
            </w:r>
            <w:r>
              <w:rPr>
                <w:rFonts w:ascii="仿宋_GB2312" w:hAnsi="仿宋_GB2312" w:cs="仿宋_GB2312" w:eastAsia="仿宋_GB2312"/>
                <w:sz w:val="28"/>
              </w:rPr>
              <w:t>含设施设备安装及调试时间</w:t>
            </w:r>
            <w:r>
              <w:rPr>
                <w:rFonts w:ascii="仿宋_GB2312" w:hAnsi="仿宋_GB2312" w:cs="仿宋_GB2312" w:eastAsia="仿宋_GB2312"/>
                <w:sz w:val="28"/>
              </w:rPr>
              <w:t>）：合同签订之日起30日历天内。</w:t>
            </w:r>
          </w:p>
          <w:p>
            <w:pPr>
              <w:pStyle w:val="null3"/>
            </w:pPr>
            <w:r>
              <w:rPr>
                <w:rFonts w:ascii="仿宋_GB2312" w:hAnsi="仿宋_GB2312" w:cs="仿宋_GB2312" w:eastAsia="仿宋_GB2312"/>
                <w:sz w:val="28"/>
              </w:rPr>
              <w:t>质保期：一年（</w:t>
            </w:r>
            <w:r>
              <w:rPr>
                <w:rFonts w:ascii="仿宋_GB2312" w:hAnsi="仿宋_GB2312" w:cs="仿宋_GB2312" w:eastAsia="仿宋_GB2312"/>
                <w:sz w:val="28"/>
              </w:rPr>
              <w:t>实际使用之日起算</w:t>
            </w:r>
            <w:r>
              <w:rPr>
                <w:rFonts w:ascii="仿宋_GB2312" w:hAnsi="仿宋_GB2312" w:cs="仿宋_GB2312" w:eastAsia="仿宋_GB2312"/>
                <w:sz w:val="28"/>
              </w:rPr>
              <w:t>）。</w:t>
            </w:r>
          </w:p>
          <w:p>
            <w:pPr>
              <w:pStyle w:val="null3"/>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 30 日历天内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进度款，竣工验收完成后，达到付款条件起10个工作日内，支付合同总金额的100.0%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按照通信行业规范验收，保障设备正常可用。</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任何一方在收到对方的具体说明违约情况的书面通知后，如确认违约行为实际存在，则应在二十天内对违约行为予以纠正并书面通知对方，如认为违约行为不存在，则应在二十天内向对方提出书面异议或说明。在此情况下，甲乙双方可就此问题进行协商，协商不成的，按本合同争议条款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本次采购、投标报价、评审和合同授予均以采购包为单位，响应供应商必须就一个完整的采购包进行响应。本项目严禁中标后另行转包或者分包。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企业法人应提供具有社会统一信用代码的营业执照，事业单位应提供事业单位法人证书，其他组织应提供合法登记证明文件，自然人应提供身份证，所有证件应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法定代表人/负责人直接参加的，只须递交《法定代表人/负责人身份证明》；法定代表人/负责人授权代表参加的，须递交《法定代表人/负责人授权书》并进行电子签章。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参加政府采购活动前三年内，在经营活动中没有重大违法记录的书面声明；（2）提供具有履行本合同所必需的设备和专业技术能力的声明。供应商需在项目电子化交易系统中按要求上传相应书面声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被列入失信被执行人、重大税收违法失信主体名单和中国政府采购网（www.ccgp.gov.cn）中被列入政府采购严重违法失信行为记录名单的单位，提供相应截图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自2025年7月以来至少一个月的纳税证明或完税证明，纳税证明或完税证明上应有代收机构或税务机关的公章或业务专用章；其他组织和自然人提供自2025年7月以来至少一个月缴纳税收的凭据；依法免税的供应商应提供相关文件证明；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自2025年7月以来至少一个月已缴纳的社会保障资金的证明（社会保障资金缴存单据或社保机构开具的社会保险参保缴费情况证明等)；依法不需要缴纳社会保障资金的供应商应提供相关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响应文件上法定代表人或其授权代表人的签字盖章齐全及其它需要签字盖章页签字盖章齐全</w:t>
            </w:r>
          </w:p>
        </w:tc>
        <w:tc>
          <w:tcPr>
            <w:tcW w:type="dxa" w:w="1661"/>
          </w:tcPr>
          <w:p>
            <w:pPr>
              <w:pStyle w:val="null3"/>
            </w:pPr>
            <w:r>
              <w:rPr>
                <w:rFonts w:ascii="仿宋_GB2312" w:hAnsi="仿宋_GB2312" w:cs="仿宋_GB2312" w:eastAsia="仿宋_GB2312"/>
              </w:rPr>
              <w:t>响应文件封面 中小企业声明函 残疾人福利性单位声明函 陕西省政府采购供应商拒绝政府采购领域商业贿赂承诺书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服务要求及商务要求偏离表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满足采购文件中要求的服务期限、服务地点</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应满足采购文件中的规定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详见附件：服务要求及商务要求偏离表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详见附件：西安市鄠邑区综治视联网项目合同.docx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