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版本号：SXRK-2026-11.1B120260728001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2026年陕西省（汉中）非物质文化遗产代表性传承人抢救性记录工作项目(二次)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SXRK-2026-11.1B1</w:t>
      </w:r>
      <w:r>
        <w:br/>
      </w:r>
      <w:r>
        <w:br/>
      </w:r>
      <w:r>
        <w:br/>
      </w:r>
    </w:p>
    <w:p>
      <w:pPr>
        <w:pStyle w:val="null3"/>
        <w:jc w:val="center"/>
        <w:outlineLvl w:val="2"/>
      </w:pPr>
      <w:r>
        <w:rPr>
          <w:rFonts w:ascii="仿宋_GB2312" w:hAnsi="仿宋_GB2312" w:cs="仿宋_GB2312" w:eastAsia="仿宋_GB2312"/>
          <w:sz w:val="28"/>
          <w:b/>
        </w:rPr>
        <w:t>汉中市文化和旅游局（汉中市文物广电局）</w:t>
      </w:r>
    </w:p>
    <w:p>
      <w:pPr>
        <w:pStyle w:val="null3"/>
        <w:jc w:val="center"/>
        <w:outlineLvl w:val="2"/>
      </w:pPr>
      <w:r>
        <w:rPr>
          <w:rFonts w:ascii="仿宋_GB2312" w:hAnsi="仿宋_GB2312" w:cs="仿宋_GB2312" w:eastAsia="仿宋_GB2312"/>
          <w:sz w:val="28"/>
          <w:b/>
        </w:rPr>
        <w:t>陕西瑞珂工程咨询有限责任公司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陕西瑞珂工程咨询有限责任公司</w:t>
      </w:r>
      <w:r>
        <w:rPr>
          <w:rFonts w:ascii="仿宋_GB2312" w:hAnsi="仿宋_GB2312" w:cs="仿宋_GB2312" w:eastAsia="仿宋_GB2312"/>
        </w:rPr>
        <w:t>（以下简称“代理机构”）受</w:t>
      </w:r>
      <w:r>
        <w:rPr>
          <w:rFonts w:ascii="仿宋_GB2312" w:hAnsi="仿宋_GB2312" w:cs="仿宋_GB2312" w:eastAsia="仿宋_GB2312"/>
        </w:rPr>
        <w:t>汉中市文化和旅游局（汉中市文物广电局）</w:t>
      </w:r>
      <w:r>
        <w:rPr>
          <w:rFonts w:ascii="仿宋_GB2312" w:hAnsi="仿宋_GB2312" w:cs="仿宋_GB2312" w:eastAsia="仿宋_GB2312"/>
        </w:rPr>
        <w:t>委托，拟对</w:t>
      </w:r>
      <w:r>
        <w:rPr>
          <w:rFonts w:ascii="仿宋_GB2312" w:hAnsi="仿宋_GB2312" w:cs="仿宋_GB2312" w:eastAsia="仿宋_GB2312"/>
        </w:rPr>
        <w:t>2026年陕西省（汉中）非物质文化遗产代表性传承人抢救性记录工作项目(二次)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SXRK-2026-11.1B1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2026年陕西省（汉中）非物质文化遗产代表性传承人抢救性记录工作项目(二次)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陕西省非物质文化遗产保护专项资金支持项目，且列入年度重点工作。项目主要对汉中市省级非物质文化遗产项目传承人进行抢救性记录保护，核心工作内容为采用数字多媒体等现代信息技术手段，全面、真实、系统地记录代表性传承人掌握的非物质文化遗产丰富知识和精湛技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采购包1（2026年陕西省（汉中）非物质文化遗产代表性传承人抢救性记录工作项目）：属于专门面向中小企业采购。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授权代表：投标人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p>
      <w:pPr>
        <w:pStyle w:val="null3"/>
      </w:pPr>
      <w:r>
        <w:rPr>
          <w:rFonts w:ascii="仿宋_GB2312" w:hAnsi="仿宋_GB2312" w:cs="仿宋_GB2312" w:eastAsia="仿宋_GB2312"/>
        </w:rPr>
        <w:t>3、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4、控股管理关系：提供直接控股和管理关系清单。若与其他供应商存在单位负责人为同一人或者存在直接控股、管理关系的，则响应无效。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5、非联合体声明：本项目不接受联合体响应，不允许分包。供应商提供《非联合体不分包投标声明》，视为独立响应，不分包。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汉中市文化和旅游局（汉中市文物广电局）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汉中市汉台区前进西路1567号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0916-2996570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陕西瑞珂工程咨询有限责任公司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陕西省汉中市汉台区五一路红叶酒店后院012基地办公楼211室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18992696203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开户名称：陕西瑞珂工程咨询有限责任公司汉中分公司</w:t>
            </w:r>
          </w:p>
          <w:p>
            <w:pPr>
              <w:pStyle w:val="null3"/>
            </w:pPr>
            <w:r>
              <w:rPr>
                <w:rFonts w:ascii="仿宋_GB2312" w:hAnsi="仿宋_GB2312" w:cs="仿宋_GB2312" w:eastAsia="仿宋_GB2312"/>
              </w:rPr>
              <w:t>开户银行：建行汉中北一环路支行</w:t>
            </w:r>
          </w:p>
          <w:p>
            <w:pPr>
              <w:pStyle w:val="null3"/>
            </w:pPr>
            <w:r>
              <w:rPr>
                <w:rFonts w:ascii="仿宋_GB2312" w:hAnsi="仿宋_GB2312" w:cs="仿宋_GB2312" w:eastAsia="仿宋_GB2312"/>
              </w:rPr>
              <w:t>银行账号：61050165380000000734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关于招标代理服务收费有关问题的通知》(发改办价格[2003]857号)的有关规定执行。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汉中市文化和旅游局（汉中市文物广电局）</w:t>
      </w:r>
      <w:r>
        <w:rPr>
          <w:rFonts w:ascii="仿宋_GB2312" w:hAnsi="仿宋_GB2312" w:cs="仿宋_GB2312" w:eastAsia="仿宋_GB2312"/>
        </w:rPr>
        <w:t>和</w:t>
      </w:r>
      <w:r>
        <w:rPr>
          <w:rFonts w:ascii="仿宋_GB2312" w:hAnsi="仿宋_GB2312" w:cs="仿宋_GB2312" w:eastAsia="仿宋_GB2312"/>
        </w:rPr>
        <w:t>陕西瑞珂工程咨询有限责任公司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汉中市文化和旅游局（汉中市文物广电局）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陕西瑞珂工程咨询有限责任公司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汉中市文化和旅游局（汉中市文物广电局）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陕西瑞珂工程咨询有限责任公司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陕西瑞珂工程咨询有限责任公司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陕西瑞珂工程咨询有限责任公司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陕西瑞珂工程咨询有限责任公司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联系电话：18992696203</w:t>
      </w:r>
    </w:p>
    <w:p>
      <w:pPr>
        <w:pStyle w:val="null3"/>
      </w:pPr>
      <w:r>
        <w:rPr>
          <w:rFonts w:ascii="仿宋_GB2312" w:hAnsi="仿宋_GB2312" w:cs="仿宋_GB2312" w:eastAsia="仿宋_GB2312"/>
        </w:rPr>
        <w:t>地址：陕西省汉中市汉台区五一路红叶酒店后院012基地办公楼211室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陕西省非物质文化遗产保护专项资金支持项目，且列入年度重点工作。项目主要对汉中市省级非物质文化遗产项目传承人进行抢救性记录保护，核心工作内容为采用数字多媒体等现代信息技术手段，全面、真实、系统地记录代表性传承人掌握的非物质文化遗产丰富知识和精湛技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2026年陕西省（汉中）非物质文化遗产代表性传承人抢救性记录工作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标的名称：2026年陕西省（汉中）非物质文化遗产代表性传承人抢救性记录工作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40"/>
              <w:jc w:val="both"/>
            </w:pPr>
            <w:r>
              <w:rPr>
                <w:rFonts w:ascii="仿宋_GB2312" w:hAnsi="仿宋_GB2312" w:cs="仿宋_GB2312" w:eastAsia="仿宋_GB2312"/>
                <w:sz w:val="32"/>
              </w:rPr>
              <w:t>供应商</w:t>
            </w:r>
            <w:r>
              <w:rPr>
                <w:rFonts w:ascii="仿宋_GB2312" w:hAnsi="仿宋_GB2312" w:cs="仿宋_GB2312" w:eastAsia="仿宋_GB2312"/>
                <w:sz w:val="32"/>
              </w:rPr>
              <w:t>参照《国家级非物质文化遗产代表性传承人抢救性记录工作操作指南（试行本）》《国家级传承人抢救性记录数据文档目录标准》，以真实性、整体性、客观性为原则，对</w:t>
            </w:r>
            <w:r>
              <w:rPr>
                <w:rFonts w:ascii="仿宋_GB2312" w:hAnsi="仿宋_GB2312" w:cs="仿宋_GB2312" w:eastAsia="仿宋_GB2312"/>
                <w:sz w:val="32"/>
              </w:rPr>
              <w:t>两</w:t>
            </w:r>
            <w:r>
              <w:rPr>
                <w:rFonts w:ascii="仿宋_GB2312" w:hAnsi="仿宋_GB2312" w:cs="仿宋_GB2312" w:eastAsia="仿宋_GB2312"/>
                <w:sz w:val="32"/>
              </w:rPr>
              <w:t>名省级非遗代表性传承人</w:t>
            </w:r>
            <w:r>
              <w:rPr>
                <w:rFonts w:ascii="仿宋_GB2312" w:hAnsi="仿宋_GB2312" w:cs="仿宋_GB2312" w:eastAsia="仿宋_GB2312"/>
                <w:sz w:val="32"/>
                <w:b/>
              </w:rPr>
              <w:t>（</w:t>
            </w:r>
            <w:r>
              <w:rPr>
                <w:rFonts w:ascii="仿宋_GB2312" w:hAnsi="仿宋_GB2312" w:cs="仿宋_GB2312" w:eastAsia="仿宋_GB2312"/>
                <w:sz w:val="32"/>
                <w:b/>
              </w:rPr>
              <w:t>“</w:t>
            </w:r>
            <w:r>
              <w:rPr>
                <w:rFonts w:ascii="仿宋_GB2312" w:hAnsi="仿宋_GB2312" w:cs="仿宋_GB2312" w:eastAsia="仿宋_GB2312"/>
                <w:sz w:val="32"/>
                <w:b/>
              </w:rPr>
              <w:t>水兽舞</w:t>
            </w:r>
            <w:r>
              <w:rPr>
                <w:rFonts w:ascii="仿宋_GB2312" w:hAnsi="仿宋_GB2312" w:cs="仿宋_GB2312" w:eastAsia="仿宋_GB2312"/>
                <w:sz w:val="32"/>
                <w:b/>
              </w:rPr>
              <w:t>”</w:t>
            </w:r>
            <w:r>
              <w:rPr>
                <w:rFonts w:ascii="仿宋_GB2312" w:hAnsi="仿宋_GB2312" w:cs="仿宋_GB2312" w:eastAsia="仿宋_GB2312"/>
                <w:sz w:val="32"/>
                <w:b/>
              </w:rPr>
              <w:t>省级非遗代表性传承人罗德俊</w:t>
            </w:r>
            <w:r>
              <w:rPr>
                <w:rFonts w:ascii="仿宋_GB2312" w:hAnsi="仿宋_GB2312" w:cs="仿宋_GB2312" w:eastAsia="仿宋_GB2312"/>
                <w:sz w:val="32"/>
                <w:b/>
              </w:rPr>
              <w:t>、</w:t>
            </w:r>
            <w:r>
              <w:rPr>
                <w:rFonts w:ascii="仿宋_GB2312" w:hAnsi="仿宋_GB2312" w:cs="仿宋_GB2312" w:eastAsia="仿宋_GB2312"/>
                <w:sz w:val="32"/>
                <w:b/>
              </w:rPr>
              <w:t>“</w:t>
            </w:r>
            <w:r>
              <w:rPr>
                <w:rFonts w:ascii="仿宋_GB2312" w:hAnsi="仿宋_GB2312" w:cs="仿宋_GB2312" w:eastAsia="仿宋_GB2312"/>
                <w:sz w:val="32"/>
                <w:b/>
              </w:rPr>
              <w:t>龙骨水车营造技艺</w:t>
            </w:r>
            <w:r>
              <w:rPr>
                <w:rFonts w:ascii="仿宋_GB2312" w:hAnsi="仿宋_GB2312" w:cs="仿宋_GB2312" w:eastAsia="仿宋_GB2312"/>
                <w:sz w:val="32"/>
                <w:b/>
              </w:rPr>
              <w:t>”</w:t>
            </w:r>
            <w:r>
              <w:rPr>
                <w:rFonts w:ascii="仿宋_GB2312" w:hAnsi="仿宋_GB2312" w:cs="仿宋_GB2312" w:eastAsia="仿宋_GB2312"/>
                <w:sz w:val="32"/>
                <w:b/>
              </w:rPr>
              <w:t>省级代表性传承人杜选民）</w:t>
            </w:r>
            <w:r>
              <w:rPr>
                <w:rFonts w:ascii="仿宋_GB2312" w:hAnsi="仿宋_GB2312" w:cs="仿宋_GB2312" w:eastAsia="仿宋_GB2312"/>
                <w:sz w:val="32"/>
              </w:rPr>
              <w:t>进行数字化记录（民俗项目必须真实，民俗活动不能临时组织特演），记录成品包括以下内容，并形成工作卷宗，相关指标符合《省级纪录片技术技术审查检验表》要求。</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）采访片（口述片）</w:t>
            </w:r>
            <w:r>
              <w:rPr>
                <w:rFonts w:ascii="仿宋_GB2312" w:hAnsi="仿宋_GB2312" w:cs="仿宋_GB2312" w:eastAsia="仿宋_GB2312"/>
                <w:sz w:val="32"/>
              </w:rPr>
              <w:t>2</w:t>
            </w:r>
            <w:r>
              <w:rPr>
                <w:rFonts w:ascii="仿宋_GB2312" w:hAnsi="仿宋_GB2312" w:cs="仿宋_GB2312" w:eastAsia="仿宋_GB2312"/>
                <w:sz w:val="32"/>
              </w:rPr>
              <w:t>部。主要包括传承人基本信息，学艺经历，技艺的特点、流程、造型方法、核心技术、艺术特点，技艺在民俗中的应用，社会影响，传承状况，创新成果和创新点，建议和愿望等内容，选择对传承项目有研究并与传承人熟悉的学术专员，准确引导拍摄方向，全面反映传承人传承故事，成片</w:t>
            </w:r>
            <w:r>
              <w:rPr>
                <w:rFonts w:ascii="仿宋_GB2312" w:hAnsi="仿宋_GB2312" w:cs="仿宋_GB2312" w:eastAsia="仿宋_GB2312"/>
                <w:sz w:val="32"/>
              </w:rPr>
              <w:t>1</w:t>
            </w:r>
            <w:r>
              <w:rPr>
                <w:rFonts w:ascii="仿宋_GB2312" w:hAnsi="仿宋_GB2312" w:cs="仿宋_GB2312" w:eastAsia="仿宋_GB2312"/>
                <w:sz w:val="32"/>
              </w:rPr>
              <w:t>部，时长</w:t>
            </w:r>
            <w:r>
              <w:rPr>
                <w:rFonts w:ascii="仿宋_GB2312" w:hAnsi="仿宋_GB2312" w:cs="仿宋_GB2312" w:eastAsia="仿宋_GB2312"/>
                <w:sz w:val="32"/>
              </w:rPr>
              <w:t>3</w:t>
            </w:r>
            <w:r>
              <w:rPr>
                <w:rFonts w:ascii="仿宋_GB2312" w:hAnsi="仿宋_GB2312" w:cs="仿宋_GB2312" w:eastAsia="仿宋_GB2312"/>
                <w:sz w:val="32"/>
              </w:rPr>
              <w:t>个小时以上。此外，对传承人之外的专家、家属、徒弟、同行进行采访，成片</w:t>
            </w:r>
            <w:r>
              <w:rPr>
                <w:rFonts w:ascii="仿宋_GB2312" w:hAnsi="仿宋_GB2312" w:cs="仿宋_GB2312" w:eastAsia="仿宋_GB2312"/>
                <w:sz w:val="32"/>
              </w:rPr>
              <w:t>1</w:t>
            </w:r>
            <w:r>
              <w:rPr>
                <w:rFonts w:ascii="仿宋_GB2312" w:hAnsi="仿宋_GB2312" w:cs="仿宋_GB2312" w:eastAsia="仿宋_GB2312"/>
                <w:sz w:val="32"/>
              </w:rPr>
              <w:t>部，时长</w:t>
            </w:r>
            <w:r>
              <w:rPr>
                <w:rFonts w:ascii="仿宋_GB2312" w:hAnsi="仿宋_GB2312" w:cs="仿宋_GB2312" w:eastAsia="仿宋_GB2312"/>
                <w:sz w:val="32"/>
              </w:rPr>
              <w:t>30</w:t>
            </w:r>
            <w:r>
              <w:rPr>
                <w:rFonts w:ascii="仿宋_GB2312" w:hAnsi="仿宋_GB2312" w:cs="仿宋_GB2312" w:eastAsia="仿宋_GB2312"/>
                <w:sz w:val="32"/>
              </w:rPr>
              <w:t>分钟左右。</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）实践片</w:t>
            </w:r>
            <w:r>
              <w:rPr>
                <w:rFonts w:ascii="仿宋_GB2312" w:hAnsi="仿宋_GB2312" w:cs="仿宋_GB2312" w:eastAsia="仿宋_GB2312"/>
                <w:sz w:val="32"/>
              </w:rPr>
              <w:t>1</w:t>
            </w:r>
            <w:r>
              <w:rPr>
                <w:rFonts w:ascii="仿宋_GB2312" w:hAnsi="仿宋_GB2312" w:cs="仿宋_GB2312" w:eastAsia="仿宋_GB2312"/>
                <w:sz w:val="32"/>
              </w:rPr>
              <w:t>部。传统美术和手工技艺记录</w:t>
            </w:r>
            <w:r>
              <w:rPr>
                <w:rFonts w:ascii="仿宋_GB2312" w:hAnsi="仿宋_GB2312" w:cs="仿宋_GB2312" w:eastAsia="仿宋_GB2312"/>
                <w:sz w:val="32"/>
              </w:rPr>
              <w:t>1</w:t>
            </w:r>
            <w:r>
              <w:rPr>
                <w:rFonts w:ascii="仿宋_GB2312" w:hAnsi="仿宋_GB2312" w:cs="仿宋_GB2312" w:eastAsia="仿宋_GB2312"/>
                <w:sz w:val="32"/>
              </w:rPr>
              <w:t>至</w:t>
            </w:r>
            <w:r>
              <w:rPr>
                <w:rFonts w:ascii="仿宋_GB2312" w:hAnsi="仿宋_GB2312" w:cs="仿宋_GB2312" w:eastAsia="仿宋_GB2312"/>
                <w:sz w:val="32"/>
              </w:rPr>
              <w:t>2</w:t>
            </w:r>
            <w:r>
              <w:rPr>
                <w:rFonts w:ascii="仿宋_GB2312" w:hAnsi="仿宋_GB2312" w:cs="仿宋_GB2312" w:eastAsia="仿宋_GB2312"/>
                <w:sz w:val="32"/>
              </w:rPr>
              <w:t>件作品的制作流程过程，传统戏剧拍摄</w:t>
            </w:r>
            <w:r>
              <w:rPr>
                <w:rFonts w:ascii="仿宋_GB2312" w:hAnsi="仿宋_GB2312" w:cs="仿宋_GB2312" w:eastAsia="仿宋_GB2312"/>
                <w:sz w:val="32"/>
              </w:rPr>
              <w:t>2</w:t>
            </w:r>
            <w:r>
              <w:rPr>
                <w:rFonts w:ascii="仿宋_GB2312" w:hAnsi="仿宋_GB2312" w:cs="仿宋_GB2312" w:eastAsia="仿宋_GB2312"/>
                <w:sz w:val="32"/>
              </w:rPr>
              <w:t>部本戏、</w:t>
            </w:r>
            <w:r>
              <w:rPr>
                <w:rFonts w:ascii="仿宋_GB2312" w:hAnsi="仿宋_GB2312" w:cs="仿宋_GB2312" w:eastAsia="仿宋_GB2312"/>
                <w:sz w:val="32"/>
              </w:rPr>
              <w:t>3</w:t>
            </w:r>
            <w:r>
              <w:rPr>
                <w:rFonts w:ascii="仿宋_GB2312" w:hAnsi="仿宋_GB2312" w:cs="仿宋_GB2312" w:eastAsia="仿宋_GB2312"/>
                <w:sz w:val="32"/>
              </w:rPr>
              <w:t>个折子戏以上。拍摄素材时长要远大于剪辑成品，反映项目传承人实践全流程。</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w:t>
            </w:r>
            <w:r>
              <w:rPr>
                <w:rFonts w:ascii="仿宋_GB2312" w:hAnsi="仿宋_GB2312" w:cs="仿宋_GB2312" w:eastAsia="仿宋_GB2312"/>
                <w:sz w:val="32"/>
              </w:rPr>
              <w:t>）教学片</w:t>
            </w:r>
            <w:r>
              <w:rPr>
                <w:rFonts w:ascii="仿宋_GB2312" w:hAnsi="仿宋_GB2312" w:cs="仿宋_GB2312" w:eastAsia="仿宋_GB2312"/>
                <w:sz w:val="32"/>
              </w:rPr>
              <w:t>4</w:t>
            </w:r>
            <w:r>
              <w:rPr>
                <w:rFonts w:ascii="仿宋_GB2312" w:hAnsi="仿宋_GB2312" w:cs="仿宋_GB2312" w:eastAsia="仿宋_GB2312"/>
                <w:sz w:val="32"/>
              </w:rPr>
              <w:t>部。与项目传承人商议，项目传承的难点、特色点，需要重点指导学徒的知识点、技能窍门，每节课程有主题和教学目标</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4</w:t>
            </w:r>
            <w:r>
              <w:rPr>
                <w:rFonts w:ascii="仿宋_GB2312" w:hAnsi="仿宋_GB2312" w:cs="仿宋_GB2312" w:eastAsia="仿宋_GB2312"/>
                <w:sz w:val="32"/>
              </w:rPr>
              <w:t>）综述片</w:t>
            </w:r>
            <w:r>
              <w:rPr>
                <w:rFonts w:ascii="仿宋_GB2312" w:hAnsi="仿宋_GB2312" w:cs="仿宋_GB2312" w:eastAsia="仿宋_GB2312"/>
                <w:sz w:val="32"/>
              </w:rPr>
              <w:t>1</w:t>
            </w:r>
            <w:r>
              <w:rPr>
                <w:rFonts w:ascii="仿宋_GB2312" w:hAnsi="仿宋_GB2312" w:cs="仿宋_GB2312" w:eastAsia="仿宋_GB2312"/>
                <w:sz w:val="32"/>
              </w:rPr>
              <w:t>部。主要用于传播，拍摄有特色思路，讲述关于此传承人传承的有传播价值的故事，除口述、实践、教学记录素材之外，应添加历史资料、人文景观、自然风光、艺人的生活及其生活环境等丰富素材，剪辑成片时长</w:t>
            </w:r>
            <w:r>
              <w:rPr>
                <w:rFonts w:ascii="仿宋_GB2312" w:hAnsi="仿宋_GB2312" w:cs="仿宋_GB2312" w:eastAsia="仿宋_GB2312"/>
                <w:sz w:val="32"/>
              </w:rPr>
              <w:t>30</w:t>
            </w:r>
            <w:r>
              <w:rPr>
                <w:rFonts w:ascii="仿宋_GB2312" w:hAnsi="仿宋_GB2312" w:cs="仿宋_GB2312" w:eastAsia="仿宋_GB2312"/>
                <w:sz w:val="32"/>
              </w:rPr>
              <w:t>分钟。</w:t>
            </w:r>
          </w:p>
          <w:p>
            <w:pPr>
              <w:pStyle w:val="null3"/>
            </w:pPr>
            <w:r>
              <w:rPr>
                <w:rFonts w:ascii="仿宋_GB2312" w:hAnsi="仿宋_GB2312" w:cs="仿宋_GB2312" w:eastAsia="仿宋_GB2312"/>
                <w:sz w:val="32"/>
              </w:rPr>
              <w:t>（</w:t>
            </w:r>
            <w:r>
              <w:rPr>
                <w:rFonts w:ascii="仿宋_GB2312" w:hAnsi="仿宋_GB2312" w:cs="仿宋_GB2312" w:eastAsia="仿宋_GB2312"/>
                <w:sz w:val="32"/>
              </w:rPr>
              <w:t>5</w:t>
            </w:r>
            <w:r>
              <w:rPr>
                <w:rFonts w:ascii="仿宋_GB2312" w:hAnsi="仿宋_GB2312" w:cs="仿宋_GB2312" w:eastAsia="仿宋_GB2312"/>
                <w:sz w:val="32"/>
              </w:rPr>
              <w:t>）实物征集若干。一般包括曲艺、戏曲、舞蹈、音乐的曲谱、剧本（手抄、印刷）、书籍、草稿、光盘、乐器、服装、道具等。传统美术、手工技艺的代表作品、手札、日记、配方、工具等。实物征集需要与传承人充分协商沟通，不能协商提供的可转为照片保存。</w:t>
            </w:r>
            <w:r>
              <w:rPr>
                <w:rFonts w:ascii="仿宋_GB2312" w:hAnsi="仿宋_GB2312" w:cs="仿宋_GB2312" w:eastAsia="仿宋_GB2312"/>
                <w:sz w:val="32"/>
              </w:rPr>
              <w:t>将记录工程相关材料形成书面档案</w:t>
            </w:r>
            <w:r>
              <w:rPr>
                <w:rFonts w:ascii="仿宋_GB2312" w:hAnsi="仿宋_GB2312" w:cs="仿宋_GB2312" w:eastAsia="仿宋_GB2312"/>
                <w:sz w:val="32"/>
              </w:rPr>
              <w:t>3</w:t>
            </w:r>
            <w:r>
              <w:rPr>
                <w:rFonts w:ascii="仿宋_GB2312" w:hAnsi="仿宋_GB2312" w:cs="仿宋_GB2312" w:eastAsia="仿宋_GB2312"/>
                <w:sz w:val="32"/>
              </w:rPr>
              <w:t>套。</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根据本项目采购需求提供。</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根据本项目采购需求提供。</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2026年12月31日前完成项目</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项目结束后通过专家评审</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进度款，项目完成拍摄后，达到付款条件起15个工作日内，支付合同总金额的30.0%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进度款，待项目整体提交验收合格后，达到付款条件起25个工作日内，支付合同总金额的30.0%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投标人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本项目不接受联合体响应，不允许分包。供应商提供《非联合体不分包投标声明》，视为独立响应，不分包。</w:t>
            </w:r>
          </w:p>
        </w:tc>
        <w:tc>
          <w:tcPr>
            <w:tcW w:type="dxa" w:w="1661"/>
          </w:tcPr>
          <w:p>
            <w:pPr>
              <w:pStyle w:val="null3"/>
            </w:pPr>
            <w:r>
              <w:rPr>
                <w:rFonts w:ascii="仿宋_GB2312" w:hAnsi="仿宋_GB2312" w:cs="仿宋_GB2312" w:eastAsia="仿宋_GB2312"/>
              </w:rPr>
              <w:t>资格证明文件1.docx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响应文件封面 资格证明文件1.docx 中小企业声明函 残疾人福利性单位声明函 服务响应方案.docx 标的清单 报价表 响应函 监狱企业的证明文件 技术服务偏差表.docx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磋商总报价是否未超过采购预算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资格证明文件1.docx 中小企业声明函 残疾人福利性单位声明函 服务响应方案.docx 标的清单 报价表 响应函 监狱企业的证明文件 技术服务偏差表.docx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完全理解并接受对合格供应商、合格的货物、工程或服务要求,结合磋商文件第三章的要求完全响应。</w:t>
            </w:r>
          </w:p>
        </w:tc>
        <w:tc>
          <w:tcPr>
            <w:tcW w:type="dxa" w:w="1661"/>
          </w:tcPr>
          <w:p>
            <w:pPr>
              <w:pStyle w:val="null3"/>
            </w:pPr>
            <w:r>
              <w:rPr>
                <w:rFonts w:ascii="仿宋_GB2312" w:hAnsi="仿宋_GB2312" w:cs="仿宋_GB2312" w:eastAsia="仿宋_GB2312"/>
              </w:rPr>
              <w:t>响应文件封面 资格证明文件1.docx 中小企业声明函 残疾人福利性单位声明函 服务响应方案.docx 标的清单 报价表 响应函 监狱企业的证明文件 技术服务偏差表.docx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项目理解与需求分析</w:t>
            </w:r>
          </w:p>
        </w:tc>
        <w:tc>
          <w:tcPr>
            <w:tcW w:type="dxa" w:w="2492"/>
          </w:tcPr>
          <w:p>
            <w:pPr>
              <w:pStyle w:val="null3"/>
            </w:pPr>
            <w:r>
              <w:rPr>
                <w:rFonts w:ascii="仿宋_GB2312" w:hAnsi="仿宋_GB2312" w:cs="仿宋_GB2312" w:eastAsia="仿宋_GB2312"/>
              </w:rPr>
              <w:t>供应商针对本项目的项目理解与需求分析，包括 ①项目理解与需求分析、②重难点分析及解决办法；满分8分。每有一项缺项扣4分，每有一项内容中有缺陷，扣2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的技术方案，包括：①高清视频数字化流程及方案②超长/超大文件处理方案③珍贵资料保护方案④针对珍稀/受损素材的修复与处理能力；满分8分。每有一项缺项扣2分，每有一项内容中有缺陷，扣 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实施进度保证措施</w:t>
            </w:r>
          </w:p>
        </w:tc>
        <w:tc>
          <w:tcPr>
            <w:tcW w:type="dxa" w:w="2492"/>
          </w:tcPr>
          <w:p>
            <w:pPr>
              <w:pStyle w:val="null3"/>
            </w:pPr>
            <w:r>
              <w:rPr>
                <w:rFonts w:ascii="仿宋_GB2312" w:hAnsi="仿宋_GB2312" w:cs="仿宋_GB2312" w:eastAsia="仿宋_GB2312"/>
              </w:rPr>
              <w:t>提供具有针对性的进度保障方案，方案内容包含①工作时间进度及成效达成措施②工作程序和步骤及关键绩效指标完成措施③关键步骤的思路和要点及服务期结束后交接措施。满分6分，未提供不得分；每有一项缺项扣2分，每有一项内容中有缺陷，扣 1分。“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应急安全管理措施</w:t>
            </w:r>
          </w:p>
        </w:tc>
        <w:tc>
          <w:tcPr>
            <w:tcW w:type="dxa" w:w="2492"/>
          </w:tcPr>
          <w:p>
            <w:pPr>
              <w:pStyle w:val="null3"/>
            </w:pPr>
            <w:r>
              <w:rPr>
                <w:rFonts w:ascii="仿宋_GB2312" w:hAnsi="仿宋_GB2312" w:cs="仿宋_GB2312" w:eastAsia="仿宋_GB2312"/>
              </w:rPr>
              <w:t>供应商针对本项目制定应急安全管理措施，包含①突发应急事件预案 ②应急保障措施。以上方案中每有一项内容完整且符合项目实施，得6分，未提供不得分；每有一项缺项扣3分，每有一项内容中有缺陷，扣 1分。“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供应商针对本项目的质量保证措施，包括：①质量保证体系、②质量控制措施；满分6分。每有一项缺项扣3分，每有一项内容中有缺陷，扣1分。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技术团队人员配置完整：团队人员包括但不限于文字、摄影、视频制作、新媒体编辑、设计等；每提供一人得3分，满分15分；不足5人的每少1人扣3分，直至扣完为止。 评审依据：响应文件中提供以上相关人员的身份证及供应商为其缴纳的近三个月任意一个月的社保证明或劳动合同。 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供应商拟派项目负责人： ①从业经验10年及以上且负责过类似项目的得3分，从业经验5年及以上10年以下且负责过类似项目的得2分，从业经验5年以下且负责过类似项目的得1分，否则不得分。 ②全日制本科及以上学历的得2分，否则不得分。 评审依据：提供工作履历表予以佐证。提供项目负责人过往类似项目的业绩证明材料，提供合同扫描件，必须清晰体现签约主体和日期、项目名称及内容等核心要素否则不计为有效业绩。 备注:合同内容须体现项目负责人姓名，无法体现的须再提供本合同甲方加盖公章的证明材料，证明该项目负责人参与本项目实施。学历证书以复印件为准，需加盖供应商公章。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拟投入的设备配备情况</w:t>
            </w:r>
          </w:p>
        </w:tc>
        <w:tc>
          <w:tcPr>
            <w:tcW w:type="dxa" w:w="2492"/>
          </w:tcPr>
          <w:p>
            <w:pPr>
              <w:pStyle w:val="null3"/>
            </w:pPr>
            <w:r>
              <w:rPr>
                <w:rFonts w:ascii="仿宋_GB2312" w:hAnsi="仿宋_GB2312" w:cs="仿宋_GB2312" w:eastAsia="仿宋_GB2312"/>
              </w:rPr>
              <w:t>本项目要求配备专业级音视频采集工作站，供应商需提供拟投入本项目的设备清单，所有设备、工具等分类完善、合理，耗材种类齐全、数量充足，能够满足要求。 拟投入设备配备先进，合理，能满足项目需求得10分； 拟投入设备配备比较先进，合理，较能满足项目需求得8分； 拟投入设备配备相对合理，相对能满足项目需求得6分； 拟投入设备配备基本合理，基本能满足项目需求得4分； 拟投入设备配备不太合理，需要调整后才能满足项目需求得2分； 拟投入设备配备有缺漏，不能满足项目需求得1分； 未提供相关内容不得分。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供应商针对本项目的售后服务方案，包括：①技术支持方案、②售后响应时限、③售后服务承诺；满分6分。每有一项缺项扣2分，每有一项内容中有缺陷，扣1分。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服务承诺1</w:t>
            </w:r>
          </w:p>
        </w:tc>
        <w:tc>
          <w:tcPr>
            <w:tcW w:type="dxa" w:w="2492"/>
          </w:tcPr>
          <w:p>
            <w:pPr>
              <w:pStyle w:val="null3"/>
            </w:pPr>
            <w:r>
              <w:rPr>
                <w:rFonts w:ascii="仿宋_GB2312" w:hAnsi="仿宋_GB2312" w:cs="仿宋_GB2312" w:eastAsia="仿宋_GB2312"/>
              </w:rPr>
              <w:t>供应商承诺派驻3位及以上工作人员每周5个工作日全部驻点办公的得7分。少于3人或少于5天均不得分。 评审依据：提供承诺书（格式自拟）。</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服务承诺2</w:t>
            </w:r>
          </w:p>
        </w:tc>
        <w:tc>
          <w:tcPr>
            <w:tcW w:type="dxa" w:w="2492"/>
          </w:tcPr>
          <w:p>
            <w:pPr>
              <w:pStyle w:val="null3"/>
            </w:pPr>
            <w:r>
              <w:rPr>
                <w:rFonts w:ascii="仿宋_GB2312" w:hAnsi="仿宋_GB2312" w:cs="仿宋_GB2312" w:eastAsia="仿宋_GB2312"/>
              </w:rPr>
              <w:t>供应商针对下述内容提供承诺函，并加盖供应商公章，每承诺1项内容计2分，满分8分:1、供应商应确保拍摄过程中使用的所有素材不涉及版权纠纷。否则，由供应商承担全部赔偿责任。2、拍摄过程中使用的所有宜传素材，其版权归汉中市文化和旅游局（汉中市文物广电局）所有。3、未经汉中市文化和旅游局（汉中市文物广电局）许可不得随意传播或用于任何商业用途。4、供应商承诺服务过程中，自觉接受采购人监督，拍摄期间能够如实提供数据。 评审依据：提供承诺书（格式自拟）。</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供应商近三年（即2023年1月1日之后）拥有执行类似项目（以合同签订时间为准）的项目业绩，每个得2.5分，最高得5分。 备注：以合同协议书或中标（成交）通知书的复印件为准，如合同中无法体现合同签订时间、项目类型等评审因素的，须另提供业主单位证明等相关证明材料复印件。（文件中装订合同复印件并加盖供应商公章，未盖章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 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详见附件：技术服务偏差表.docx</w:t>
      </w:r>
    </w:p>
    <w:p>
      <w:pPr>
        <w:pStyle w:val="null3"/>
        <w:ind w:firstLine="960"/>
      </w:pPr>
      <w:r>
        <w:rPr>
          <w:rFonts w:ascii="仿宋_GB2312" w:hAnsi="仿宋_GB2312" w:cs="仿宋_GB2312" w:eastAsia="仿宋_GB2312"/>
        </w:rPr>
        <w:t>详见附件：服务响应方案.docx</w:t>
      </w:r>
    </w:p>
    <w:p>
      <w:pPr>
        <w:pStyle w:val="null3"/>
        <w:ind w:firstLine="960"/>
      </w:pPr>
      <w:r>
        <w:rPr>
          <w:rFonts w:ascii="仿宋_GB2312" w:hAnsi="仿宋_GB2312" w:cs="仿宋_GB2312" w:eastAsia="仿宋_GB2312"/>
        </w:rPr>
        <w:t>详见附件：资格证明文件1.docx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