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ECE90">
      <w:pPr>
        <w:pStyle w:val="7"/>
        <w:jc w:val="center"/>
        <w:outlineLvl w:val="1"/>
        <w:rPr>
          <w:rFonts w:hint="eastAsia" w:ascii="仿宋" w:hAnsi="仿宋" w:eastAsia="仿宋" w:cs="仿宋"/>
        </w:rPr>
      </w:pPr>
      <w:r>
        <w:rPr>
          <w:rFonts w:hint="eastAsia" w:ascii="仿宋" w:hAnsi="仿宋" w:eastAsia="仿宋" w:cs="仿宋"/>
          <w:b/>
          <w:sz w:val="36"/>
        </w:rPr>
        <w:t>拟签订采购合同文本</w:t>
      </w:r>
    </w:p>
    <w:p w14:paraId="6FF181CB">
      <w:pPr>
        <w:spacing w:line="360" w:lineRule="auto"/>
        <w:ind w:firstLine="210" w:firstLineChars="100"/>
        <w:rPr>
          <w:rFonts w:hint="eastAsia" w:ascii="宋体" w:hAnsi="宋体" w:eastAsia="宋体" w:cs="宋体"/>
        </w:rPr>
      </w:pPr>
      <w:r>
        <w:rPr>
          <w:rFonts w:hint="eastAsia" w:ascii="宋体" w:hAnsi="宋体" w:eastAsia="宋体" w:cs="宋体"/>
          <w:b w:val="0"/>
          <w:color w:val="000000"/>
        </w:rPr>
        <w:t xml:space="preserve"> </w:t>
      </w:r>
      <w:r>
        <w:rPr>
          <w:rFonts w:hint="eastAsia" w:ascii="宋体" w:hAnsi="宋体" w:eastAsia="宋体" w:cs="宋体"/>
          <w:b/>
          <w:sz w:val="21"/>
          <w:szCs w:val="21"/>
        </w:rPr>
        <w:t>注：本合同仅为合同的参考文本，合同签订双方可根据项目的具体要求进行修订。</w:t>
      </w:r>
    </w:p>
    <w:p w14:paraId="58FC3142">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甲方（采购人）：</w:t>
      </w:r>
      <w:r>
        <w:rPr>
          <w:rFonts w:hint="eastAsia" w:ascii="宋体" w:hAnsi="宋体" w:eastAsia="宋体" w:cs="宋体"/>
          <w:sz w:val="24"/>
          <w:szCs w:val="24"/>
          <w:lang w:eastAsia="zh-CN"/>
        </w:rPr>
        <w:t>汉中市文化和旅游局（汉中市文物广电局）</w:t>
      </w:r>
    </w:p>
    <w:p w14:paraId="377591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乙方（成交人）：</w:t>
      </w:r>
    </w:p>
    <w:p w14:paraId="2B4D0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依据《中华人民共和国民法典》、《中华人民共和国政府采购法》与项目行业有关的法律法规，以及</w:t>
      </w:r>
      <w:r>
        <w:rPr>
          <w:rFonts w:hint="eastAsia" w:ascii="宋体" w:hAnsi="宋体" w:eastAsia="宋体" w:cs="宋体"/>
          <w:sz w:val="24"/>
          <w:szCs w:val="24"/>
          <w:lang w:val="en-US" w:eastAsia="zh-CN"/>
        </w:rPr>
        <w:t>2026年陕西省（汉中）非物质文化遗产代表性传承人抢救性记录工作项目</w:t>
      </w:r>
      <w:r>
        <w:rPr>
          <w:rFonts w:hint="eastAsia" w:ascii="宋体" w:hAnsi="宋体" w:cs="宋体"/>
          <w:sz w:val="24"/>
          <w:szCs w:val="24"/>
          <w:lang w:eastAsia="zh-CN"/>
        </w:rPr>
        <w:t>的</w:t>
      </w:r>
      <w:r>
        <w:rPr>
          <w:rFonts w:hint="eastAsia" w:ascii="宋体" w:hAnsi="宋体" w:eastAsia="宋体" w:cs="宋体"/>
          <w:sz w:val="24"/>
          <w:szCs w:val="24"/>
        </w:rPr>
        <w:t>竞争性磋商文件，乙方的磋商响应文件及成交通知书，甲、乙双方同意签订本合同。</w:t>
      </w:r>
    </w:p>
    <w:p w14:paraId="0A8E67B3">
      <w:pPr>
        <w:numPr>
          <w:ilvl w:val="0"/>
          <w:numId w:val="1"/>
        </w:num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服务期限</w:t>
      </w:r>
    </w:p>
    <w:p w14:paraId="458133C6">
      <w:pPr>
        <w:pStyle w:val="2"/>
        <w:numPr>
          <w:ilvl w:val="0"/>
          <w:numId w:val="0"/>
        </w:numPr>
        <w:rPr>
          <w:rFonts w:hint="eastAsia"/>
        </w:rPr>
      </w:pPr>
    </w:p>
    <w:p w14:paraId="56028294">
      <w:pPr>
        <w:numPr>
          <w:ilvl w:val="0"/>
          <w:numId w:val="1"/>
        </w:numPr>
        <w:spacing w:line="360" w:lineRule="auto"/>
        <w:ind w:left="0" w:leftChars="0" w:firstLine="482" w:firstLineChars="200"/>
        <w:rPr>
          <w:rFonts w:hint="eastAsia" w:ascii="宋体" w:hAnsi="宋体" w:eastAsia="宋体" w:cs="宋体"/>
          <w:b/>
          <w:sz w:val="24"/>
          <w:szCs w:val="24"/>
        </w:rPr>
      </w:pPr>
      <w:bookmarkStart w:id="0" w:name="_Toc251768862"/>
      <w:bookmarkStart w:id="1" w:name="_Toc239568418"/>
      <w:bookmarkStart w:id="2" w:name="_Toc225654644"/>
      <w:bookmarkStart w:id="3" w:name="_Toc247334841"/>
      <w:bookmarkStart w:id="4" w:name="_Toc283019214"/>
      <w:bookmarkStart w:id="5" w:name="_Toc237145406"/>
      <w:bookmarkStart w:id="6" w:name="_Toc241833903"/>
      <w:bookmarkStart w:id="7" w:name="_Toc212019594"/>
      <w:bookmarkStart w:id="8" w:name="_Toc211854449"/>
      <w:bookmarkStart w:id="9" w:name="_Toc286993786"/>
      <w:bookmarkStart w:id="10" w:name="_Toc225670751"/>
      <w:bookmarkStart w:id="11" w:name="_Toc185395249"/>
      <w:bookmarkStart w:id="12" w:name="_Toc282696226"/>
      <w:bookmarkStart w:id="13" w:name="_Toc232492928"/>
      <w:bookmarkStart w:id="14" w:name="_Toc225244852"/>
      <w:bookmarkStart w:id="15" w:name="_Toc239233914"/>
      <w:bookmarkStart w:id="16" w:name="_Toc211911348"/>
      <w:bookmarkStart w:id="17" w:name="_Toc238984975"/>
      <w:r>
        <w:rPr>
          <w:rFonts w:hint="eastAsia" w:ascii="宋体" w:hAnsi="宋体" w:eastAsia="宋体" w:cs="宋体"/>
          <w:b/>
          <w:sz w:val="24"/>
          <w:szCs w:val="24"/>
        </w:rPr>
        <w:t>服务内容与绩效目标</w:t>
      </w:r>
    </w:p>
    <w:p w14:paraId="7B206398">
      <w:pPr>
        <w:pStyle w:val="2"/>
        <w:numPr>
          <w:ilvl w:val="0"/>
          <w:numId w:val="0"/>
        </w:numPr>
        <w:ind w:leftChars="200"/>
        <w:rPr>
          <w:rFonts w:hint="eastAsia"/>
        </w:rPr>
      </w:pPr>
    </w:p>
    <w:p w14:paraId="68A8BFF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服务费用、验收及支付方式</w:t>
      </w:r>
    </w:p>
    <w:p w14:paraId="3CBA18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1、本项目服务费（成交价）：大写：</w:t>
      </w:r>
      <w:r>
        <w:rPr>
          <w:rFonts w:hint="eastAsia" w:ascii="宋体" w:hAnsi="宋体" w:eastAsia="宋体" w:cs="宋体"/>
          <w:sz w:val="24"/>
          <w:szCs w:val="24"/>
          <w:u w:val="single"/>
        </w:rPr>
        <w:t xml:space="preserve">     </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5B26D2E2">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rPr>
        <w:t>2、验收：项目完成后由采购人负责组织验收，必要时请有关专家和国家法定机构，共同进行验收，验收合格须交接项目实施的全部资料。验收须以采购文件、合同、国家相</w:t>
      </w:r>
      <w:r>
        <w:rPr>
          <w:rFonts w:hint="eastAsia" w:ascii="宋体" w:hAnsi="宋体" w:eastAsia="宋体" w:cs="宋体"/>
          <w:sz w:val="24"/>
          <w:szCs w:val="22"/>
          <w:highlight w:val="none"/>
        </w:rPr>
        <w:t>应的标准、规范等为依据。</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C48948B">
      <w:pPr>
        <w:pStyle w:val="7"/>
        <w:spacing w:line="360" w:lineRule="auto"/>
        <w:rPr>
          <w:rFonts w:hint="eastAsia" w:ascii="宋体" w:hAnsi="宋体" w:eastAsia="宋体" w:cs="宋体"/>
          <w:kern w:val="2"/>
          <w:sz w:val="24"/>
          <w:szCs w:val="22"/>
          <w:highlight w:val="none"/>
          <w:lang w:val="en-US" w:eastAsia="zh-CN" w:bidi="ar-SA"/>
        </w:rPr>
      </w:pPr>
      <w:r>
        <w:rPr>
          <w:rFonts w:hint="eastAsia" w:ascii="宋体" w:hAnsi="宋体" w:eastAsia="宋体" w:cs="宋体"/>
          <w:sz w:val="24"/>
          <w:szCs w:val="22"/>
          <w:highlight w:val="none"/>
        </w:rPr>
        <w:t xml:space="preserve"> </w:t>
      </w:r>
      <w:r>
        <w:rPr>
          <w:rFonts w:hint="eastAsia" w:ascii="宋体" w:hAnsi="宋体" w:eastAsia="宋体" w:cs="宋体"/>
          <w:sz w:val="24"/>
          <w:szCs w:val="22"/>
          <w:highlight w:val="none"/>
          <w:lang w:val="en-US" w:eastAsia="zh-CN"/>
        </w:rPr>
        <w:t xml:space="preserve">  </w:t>
      </w:r>
      <w:r>
        <w:rPr>
          <w:rFonts w:hint="eastAsia" w:ascii="宋体" w:hAnsi="宋体" w:eastAsia="宋体" w:cs="宋体"/>
          <w:kern w:val="2"/>
          <w:sz w:val="24"/>
          <w:szCs w:val="22"/>
          <w:highlight w:val="none"/>
          <w:lang w:val="en-US" w:eastAsia="zh-CN" w:bidi="ar-SA"/>
        </w:rPr>
        <w:t>3、服务费</w:t>
      </w:r>
      <w:r>
        <w:rPr>
          <w:rFonts w:hint="eastAsia" w:ascii="宋体" w:hAnsi="宋体" w:eastAsia="宋体" w:cs="宋体"/>
          <w:kern w:val="2"/>
          <w:sz w:val="24"/>
          <w:szCs w:val="22"/>
          <w:highlight w:val="none"/>
          <w:lang w:val="en-US" w:eastAsia="zh-CN" w:bidi="ar-SA"/>
        </w:rPr>
        <w:t>支付方式：①合同签订后，达到付款条件起15个工作日内，支付合同总金额的40.0% 。②项目完成拍摄后，达到付款条件起15个工作日内，支付合同总金额的30.0% 。③待项目整体提交验收合格后，达到付款条件起25个工作日内，支付合同总金额的30.0% 。</w:t>
      </w:r>
      <w:bookmarkStart w:id="52" w:name="_GoBack"/>
      <w:bookmarkEnd w:id="52"/>
    </w:p>
    <w:p w14:paraId="4613734E">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 xml:space="preserve"> </w:t>
      </w:r>
      <w:r>
        <w:rPr>
          <w:rFonts w:hint="eastAsia" w:ascii="宋体" w:hAnsi="宋体" w:eastAsia="宋体" w:cs="宋体"/>
          <w:b/>
          <w:sz w:val="24"/>
          <w:szCs w:val="24"/>
        </w:rPr>
        <w:t>第四条 知识产权</w:t>
      </w:r>
    </w:p>
    <w:p w14:paraId="557C74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014135C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无产权瑕疵条款</w:t>
      </w:r>
    </w:p>
    <w:p w14:paraId="345549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44CF7F00">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第六条 甲方的权利和义务</w:t>
      </w:r>
    </w:p>
    <w:p w14:paraId="6619A2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69C8FD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0331CB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26846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0FB4ACB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5、国家法律、法规所规定由甲方承担的其它责任。</w:t>
      </w:r>
    </w:p>
    <w:p w14:paraId="118FE0B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第七条 乙方的权利和义务</w:t>
      </w:r>
    </w:p>
    <w:p w14:paraId="2912B7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1E060B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537910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64796F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1613E4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4CE54C7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第八条 违约责任</w:t>
      </w:r>
    </w:p>
    <w:p w14:paraId="7A08BCB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C01A3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FBF1346">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第九条 不可抗力事件处理</w:t>
      </w:r>
    </w:p>
    <w:p w14:paraId="0445E3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67EB48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645FB3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3、不可抗力事件延续15天以上，双方应通过友好协商，确定是否继续履行合同。</w:t>
      </w:r>
    </w:p>
    <w:p w14:paraId="6A63968D">
      <w:pPr>
        <w:spacing w:line="360" w:lineRule="auto"/>
        <w:ind w:firstLine="482" w:firstLineChars="200"/>
        <w:rPr>
          <w:rFonts w:hint="eastAsia" w:ascii="宋体" w:hAnsi="宋体" w:eastAsia="宋体" w:cs="宋体"/>
          <w:b/>
          <w:sz w:val="24"/>
          <w:szCs w:val="24"/>
        </w:rPr>
      </w:pPr>
      <w:bookmarkStart w:id="18" w:name="_Toc225670756"/>
      <w:bookmarkStart w:id="19" w:name="_Toc225244857"/>
      <w:bookmarkStart w:id="20" w:name="_Toc212019599"/>
      <w:bookmarkStart w:id="21" w:name="_Toc211854454"/>
      <w:bookmarkStart w:id="22" w:name="_Toc211911353"/>
      <w:bookmarkStart w:id="23" w:name="_Toc239568423"/>
      <w:bookmarkStart w:id="24" w:name="_Toc247334846"/>
      <w:bookmarkStart w:id="25" w:name="_Toc237145411"/>
      <w:bookmarkStart w:id="26" w:name="_Toc251768867"/>
      <w:bookmarkStart w:id="27" w:name="_Toc225654649"/>
      <w:bookmarkStart w:id="28" w:name="_Toc286993792"/>
      <w:bookmarkStart w:id="29" w:name="_Toc239233919"/>
      <w:bookmarkStart w:id="30" w:name="_Toc185395254"/>
      <w:bookmarkStart w:id="31" w:name="_Toc238984980"/>
      <w:bookmarkStart w:id="32" w:name="_Toc241833908"/>
      <w:bookmarkStart w:id="33" w:name="_Toc232492933"/>
      <w:r>
        <w:rPr>
          <w:rFonts w:hint="eastAsia" w:ascii="宋体" w:hAnsi="宋体" w:eastAsia="宋体" w:cs="宋体"/>
          <w:b/>
          <w:sz w:val="24"/>
          <w:szCs w:val="24"/>
        </w:rPr>
        <w:t>第十条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2B0A883">
      <w:pPr>
        <w:spacing w:line="360" w:lineRule="auto"/>
        <w:ind w:firstLine="480" w:firstLineChars="200"/>
        <w:rPr>
          <w:rFonts w:hint="eastAsia" w:ascii="宋体" w:hAnsi="宋体" w:eastAsia="宋体" w:cs="宋体"/>
          <w:sz w:val="24"/>
          <w:szCs w:val="24"/>
        </w:rPr>
      </w:pPr>
      <w:bookmarkStart w:id="34" w:name="_Toc282696231"/>
      <w:bookmarkStart w:id="35" w:name="_Toc247334847"/>
      <w:bookmarkStart w:id="36" w:name="_Toc211911354"/>
      <w:bookmarkStart w:id="37" w:name="_Toc283019219"/>
      <w:bookmarkStart w:id="38" w:name="_Toc232492934"/>
      <w:bookmarkStart w:id="39" w:name="_Toc238984981"/>
      <w:bookmarkStart w:id="40" w:name="_Toc211854455"/>
      <w:bookmarkStart w:id="41" w:name="_Toc237145412"/>
      <w:bookmarkStart w:id="42" w:name="_Toc225670757"/>
      <w:bookmarkStart w:id="43" w:name="_Toc286993793"/>
      <w:bookmarkStart w:id="44" w:name="_Toc239233920"/>
      <w:bookmarkStart w:id="45" w:name="_Toc225244858"/>
      <w:bookmarkStart w:id="46" w:name="_Toc241833909"/>
      <w:bookmarkStart w:id="47" w:name="_Toc239568424"/>
      <w:bookmarkStart w:id="48" w:name="_Toc185395255"/>
      <w:bookmarkStart w:id="49" w:name="_Toc212019600"/>
      <w:bookmarkStart w:id="50" w:name="_Toc251768868"/>
      <w:bookmarkStart w:id="51" w:name="_Toc225654650"/>
      <w:r>
        <w:rPr>
          <w:rFonts w:hint="eastAsia" w:ascii="宋体" w:hAnsi="宋体" w:eastAsia="宋体" w:cs="宋体"/>
          <w:sz w:val="24"/>
          <w:szCs w:val="24"/>
        </w:rPr>
        <w:t>1、合同一经签订，不得随意变更、中止或终止。对确需变更、调整或者中止、终止合同的，应按规定履行相应的手续。</w:t>
      </w:r>
    </w:p>
    <w:p w14:paraId="7E8A6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2、合同执行中发生争议的，甲、乙双方应协商解决，协商达不成一致时，可</w:t>
      </w:r>
      <w:r>
        <w:rPr>
          <w:rFonts w:hint="eastAsia" w:ascii="宋体" w:hAnsi="宋体" w:cs="宋体"/>
          <w:sz w:val="24"/>
          <w:szCs w:val="24"/>
          <w:lang w:eastAsia="zh-CN"/>
        </w:rPr>
        <w:t>在甲方所在地</w:t>
      </w:r>
      <w:r>
        <w:rPr>
          <w:rFonts w:hint="eastAsia" w:ascii="宋体" w:hAnsi="宋体" w:eastAsia="宋体" w:cs="宋体"/>
          <w:sz w:val="24"/>
          <w:szCs w:val="24"/>
        </w:rPr>
        <w:t>提起诉讼。</w:t>
      </w:r>
    </w:p>
    <w:p w14:paraId="4C2874E1">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第十一条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24"/>
          <w:szCs w:val="24"/>
        </w:rPr>
        <w:t>生效及其他</w:t>
      </w:r>
    </w:p>
    <w:p w14:paraId="192E4F5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1、甲、乙双方做为合同执行的主体，有义务及时完全履行合同。</w:t>
      </w:r>
    </w:p>
    <w:p w14:paraId="59A0AA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2、合同未尽事宜，由甲、乙双方协商，协商方案作为本合同不可分割的组成部分，与本合同具有同等法律效力。</w:t>
      </w:r>
    </w:p>
    <w:p w14:paraId="622588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3、采购文件和乙方的响应文件以及合同附件均为合同不可分割的部分。</w:t>
      </w:r>
    </w:p>
    <w:p w14:paraId="683313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4、本合同一式七份，甲乙双方各执三份，具有同等法律效力；监督方执一份。</w:t>
      </w:r>
    </w:p>
    <w:p w14:paraId="3384DE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甲方（盖单位章）：               乙方（盖单位章）：</w:t>
      </w:r>
    </w:p>
    <w:p w14:paraId="54B374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                    法定代表人或</w:t>
      </w:r>
    </w:p>
    <w:p w14:paraId="0963B4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授权代理人签字：                授权代理人签字：</w:t>
      </w:r>
    </w:p>
    <w:p w14:paraId="0AF9C8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                          地址：</w:t>
      </w:r>
    </w:p>
    <w:p w14:paraId="204ECE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                          邮编：</w:t>
      </w:r>
    </w:p>
    <w:p w14:paraId="3BA5BF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开户银行名称：                  开户银行名称：</w:t>
      </w:r>
    </w:p>
    <w:p w14:paraId="6BFD06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银行账号：                      银行账号：</w:t>
      </w:r>
    </w:p>
    <w:p w14:paraId="28251A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联系人：                        联系人：</w:t>
      </w:r>
    </w:p>
    <w:p w14:paraId="56436F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                          电话：</w:t>
      </w:r>
    </w:p>
    <w:p w14:paraId="3E95075A">
      <w:pPr>
        <w:rPr>
          <w:rFonts w:hint="eastAsia" w:ascii="宋体" w:hAnsi="宋体" w:eastAsia="宋体" w:cs="宋体"/>
        </w:rPr>
      </w:pPr>
    </w:p>
    <w:p w14:paraId="1D366BE6">
      <w:pPr>
        <w:rPr>
          <w:rFonts w:hint="eastAsia" w:ascii="宋体" w:hAnsi="宋体" w:eastAsia="宋体" w:cs="宋体"/>
        </w:rPr>
      </w:pPr>
    </w:p>
    <w:p w14:paraId="370EBFB6">
      <w:pPr>
        <w:pStyle w:val="4"/>
        <w:spacing w:beforeAutospacing="0" w:afterAutospacing="0" w:line="420" w:lineRule="exact"/>
        <w:jc w:val="center"/>
        <w:outlineLvl w:val="0"/>
        <w:rPr>
          <w:rFonts w:hint="eastAsia" w:ascii="宋体" w:hAnsi="宋体" w:eastAsia="宋体" w:cs="宋体"/>
          <w:b/>
          <w:sz w:val="36"/>
          <w:szCs w:val="36"/>
        </w:rPr>
      </w:pPr>
    </w:p>
    <w:p w14:paraId="6276904F">
      <w:pPr>
        <w:pStyle w:val="4"/>
        <w:spacing w:beforeAutospacing="0" w:afterAutospacing="0" w:line="420" w:lineRule="exact"/>
        <w:jc w:val="center"/>
        <w:outlineLvl w:val="0"/>
        <w:rPr>
          <w:rFonts w:hint="eastAsia" w:ascii="宋体" w:hAnsi="宋体" w:eastAsia="宋体" w:cs="宋体"/>
          <w:b/>
          <w:sz w:val="36"/>
          <w:szCs w:val="36"/>
        </w:rPr>
      </w:pPr>
    </w:p>
    <w:p w14:paraId="2E3A5F5F">
      <w:pPr>
        <w:pStyle w:val="7"/>
        <w:rPr>
          <w:rFonts w:hint="eastAsia" w:ascii="仿宋" w:hAnsi="仿宋" w:eastAsia="仿宋" w:cs="仿宋"/>
          <w:lang w:val="en-US" w:eastAsia="zh-Hans"/>
        </w:rPr>
      </w:pPr>
      <w:r>
        <w:rPr>
          <w:rFonts w:hint="eastAsia" w:ascii="仿宋" w:hAnsi="仿宋" w:eastAsia="仿宋" w:cs="仿宋"/>
        </w:rPr>
        <w:t xml:space="preserve"> </w:t>
      </w:r>
      <w:r>
        <w:rPr>
          <w:rFonts w:hint="eastAsia" w:ascii="仿宋" w:hAnsi="仿宋" w:eastAsia="仿宋" w:cs="仿宋"/>
        </w:rPr>
        <w:br w:type="textWrapping"/>
      </w:r>
    </w:p>
    <w:p w14:paraId="50C3B0D3"/>
    <w:sectPr>
      <w:footerReference r:id="rId3" w:type="default"/>
      <w:pgSz w:w="11906" w:h="16838"/>
      <w:pgMar w:top="1440" w:right="1417" w:bottom="1440"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508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CA2028"/>
    <w:multiLevelType w:val="singleLevel"/>
    <w:tmpl w:val="E7CA2028"/>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C3A82"/>
    <w:rsid w:val="02873C8E"/>
    <w:rsid w:val="0B383F55"/>
    <w:rsid w:val="0D9D3A66"/>
    <w:rsid w:val="0F184516"/>
    <w:rsid w:val="1F466218"/>
    <w:rsid w:val="2593660F"/>
    <w:rsid w:val="268853E9"/>
    <w:rsid w:val="2C965376"/>
    <w:rsid w:val="38630AE9"/>
    <w:rsid w:val="42DA1507"/>
    <w:rsid w:val="5F3D0AA8"/>
    <w:rsid w:val="634F68BE"/>
    <w:rsid w:val="6E0D708E"/>
    <w:rsid w:val="6ECD0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footer"/>
    <w:basedOn w:val="1"/>
    <w:next w:val="2"/>
    <w:qFormat/>
    <w:uiPriority w:val="0"/>
    <w:pPr>
      <w:tabs>
        <w:tab w:val="center" w:pos="4153"/>
        <w:tab w:val="right" w:pos="8306"/>
      </w:tabs>
      <w:snapToGrid w:val="0"/>
      <w:jc w:val="left"/>
    </w:pPr>
    <w:rPr>
      <w:sz w:val="18"/>
    </w:rPr>
  </w:style>
  <w:style w:type="paragraph" w:styleId="4">
    <w:name w:val="Normal (Web)"/>
    <w:basedOn w:val="1"/>
    <w:qFormat/>
    <w:uiPriority w:val="99"/>
    <w:pPr>
      <w:widowControl/>
      <w:spacing w:before="100" w:beforeAutospacing="1" w:after="100" w:afterAutospacing="1"/>
      <w:jc w:val="left"/>
    </w:pPr>
    <w:rPr>
      <w:rFonts w:hint="eastAsia" w:ascii="宋体" w:hAnsi="宋体"/>
      <w:kern w:val="0"/>
      <w:sz w:val="24"/>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1592</Words>
  <Characters>1611</Characters>
  <Lines>0</Lines>
  <Paragraphs>0</Paragraphs>
  <TotalTime>1</TotalTime>
  <ScaleCrop>false</ScaleCrop>
  <LinksUpToDate>false</LinksUpToDate>
  <CharactersWithSpaces>1830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半哭半笑半失落~</cp:lastModifiedBy>
  <dcterms:modified xsi:type="dcterms:W3CDTF">2026-07-07T07:18:48Z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eyJoZGlkIjoiOGZlNTllYzg2ZjE0NGM4YjM0ODU4NmI5MmQwODQ2ZGIiLCJ1c2VySWQiOiI4MzAwMjk3MzgifQ==</vt:lpwstr>
  </property>
  <property fmtid="{D5CDD505-2E9C-101B-9397-08002B2CF9AE}" pid="4" name="ICV">
    <vt:lpwstr>5EE3CE4DC76941D9BB88954BAEFA0651_12</vt:lpwstr>
  </property>
</Properties>
</file>