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963094">
      <w:pPr>
        <w:spacing w:line="360" w:lineRule="auto"/>
        <w:ind w:firstLine="281" w:firstLineChars="100"/>
        <w:jc w:val="center"/>
        <w:rPr>
          <w:rFonts w:hint="eastAsia" w:ascii="仿宋_GB2312" w:hAnsi="仿宋_GB2312" w:eastAsia="仿宋_GB2312" w:cs="仿宋_GB2312"/>
          <w:b/>
          <w:kern w:val="0"/>
          <w:sz w:val="28"/>
          <w:lang w:val="en-US" w:eastAsia="zh-CN" w:bidi="ar-SA"/>
        </w:rPr>
      </w:pPr>
      <w:r>
        <w:rPr>
          <w:rFonts w:hint="eastAsia" w:ascii="仿宋_GB2312" w:hAnsi="仿宋_GB2312" w:eastAsia="仿宋_GB2312" w:cs="仿宋_GB2312"/>
          <w:b/>
          <w:kern w:val="0"/>
          <w:sz w:val="28"/>
          <w:lang w:val="en-US" w:eastAsia="zh-CN" w:bidi="ar-SA"/>
        </w:rPr>
        <w:t>采购内容</w:t>
      </w:r>
    </w:p>
    <w:p w14:paraId="4E49231A">
      <w:pPr>
        <w:spacing w:line="360" w:lineRule="auto"/>
        <w:ind w:firstLine="240" w:firstLineChars="100"/>
        <w:rPr>
          <w:rFonts w:hint="eastAsia" w:ascii="仿宋_GB2312" w:hAnsi="仿宋_GB2312" w:eastAsia="仿宋_GB2312" w:cs="仿宋_GB2312"/>
          <w:bCs/>
          <w:sz w:val="24"/>
          <w:szCs w:val="24"/>
          <w:lang w:val="en-US" w:eastAsia="zh-CN"/>
        </w:rPr>
      </w:pPr>
    </w:p>
    <w:p w14:paraId="35E61ADC">
      <w:pPr>
        <w:spacing w:line="360" w:lineRule="auto"/>
        <w:ind w:firstLine="240" w:firstLineChars="100"/>
        <w:rPr>
          <w:rFonts w:hint="eastAsia" w:ascii="仿宋_GB2312" w:hAnsi="仿宋_GB2312" w:eastAsia="仿宋_GB2312" w:cs="仿宋_GB2312"/>
          <w:bCs/>
          <w:sz w:val="24"/>
          <w:szCs w:val="24"/>
          <w:lang w:val="en-US" w:eastAsia="zh-CN"/>
        </w:rPr>
      </w:pPr>
      <w:r>
        <w:rPr>
          <w:rFonts w:hint="eastAsia" w:ascii="仿宋_GB2312" w:hAnsi="仿宋_GB2312" w:eastAsia="仿宋_GB2312" w:cs="仿宋_GB2312"/>
          <w:bCs/>
          <w:sz w:val="24"/>
          <w:szCs w:val="24"/>
          <w:lang w:val="en-US" w:eastAsia="zh-CN"/>
        </w:rPr>
        <w:t>为了顺利完成本次2026年度铜川市农村公路路面技术状况检测任务，特制定本检测工作方案以指导各项检测工作顺利开展。</w:t>
      </w:r>
    </w:p>
    <w:p w14:paraId="6369452F">
      <w:pPr>
        <w:spacing w:line="360" w:lineRule="auto"/>
        <w:ind w:firstLine="240" w:firstLineChars="100"/>
        <w:rPr>
          <w:rFonts w:hint="eastAsia" w:ascii="仿宋_GB2312" w:hAnsi="仿宋_GB2312" w:eastAsia="仿宋_GB2312" w:cs="仿宋_GB2312"/>
          <w:bCs/>
          <w:sz w:val="24"/>
          <w:szCs w:val="24"/>
          <w:lang w:val="en-US" w:eastAsia="zh-CN"/>
        </w:rPr>
      </w:pPr>
      <w:bookmarkStart w:id="0" w:name="_Toc11150"/>
      <w:bookmarkStart w:id="1" w:name="_Toc75965193"/>
      <w:bookmarkStart w:id="2" w:name="_Toc25072"/>
      <w:r>
        <w:rPr>
          <w:rFonts w:hint="eastAsia" w:ascii="仿宋_GB2312" w:hAnsi="仿宋_GB2312" w:eastAsia="仿宋_GB2312" w:cs="仿宋_GB2312"/>
          <w:bCs/>
          <w:sz w:val="24"/>
          <w:szCs w:val="24"/>
          <w:lang w:val="en-US" w:eastAsia="zh-CN"/>
        </w:rPr>
        <w:t>1</w:t>
      </w:r>
      <w:bookmarkEnd w:id="0"/>
      <w:bookmarkEnd w:id="1"/>
      <w:r>
        <w:rPr>
          <w:rFonts w:hint="eastAsia" w:ascii="仿宋_GB2312" w:hAnsi="仿宋_GB2312" w:eastAsia="仿宋_GB2312" w:cs="仿宋_GB2312"/>
          <w:bCs/>
          <w:sz w:val="24"/>
          <w:szCs w:val="24"/>
          <w:lang w:val="en-US" w:eastAsia="zh-CN"/>
        </w:rPr>
        <w:t>检测目的</w:t>
      </w:r>
      <w:bookmarkEnd w:id="2"/>
    </w:p>
    <w:p w14:paraId="20CD1393">
      <w:pPr>
        <w:spacing w:line="360" w:lineRule="auto"/>
        <w:ind w:firstLine="240" w:firstLineChars="100"/>
        <w:rPr>
          <w:rFonts w:hint="eastAsia" w:ascii="仿宋_GB2312" w:hAnsi="仿宋_GB2312" w:eastAsia="仿宋_GB2312" w:cs="仿宋_GB2312"/>
          <w:bCs/>
          <w:sz w:val="24"/>
          <w:szCs w:val="24"/>
          <w:lang w:val="en-US" w:eastAsia="zh-CN"/>
        </w:rPr>
      </w:pPr>
      <w:r>
        <w:rPr>
          <w:rFonts w:hint="eastAsia" w:ascii="仿宋_GB2312" w:hAnsi="仿宋_GB2312" w:eastAsia="仿宋_GB2312" w:cs="仿宋_GB2312"/>
          <w:bCs/>
          <w:sz w:val="24"/>
          <w:szCs w:val="24"/>
          <w:lang w:val="en-US" w:eastAsia="zh-CN"/>
        </w:rPr>
        <w:t>依据《公路技术状况评定标准》（JTG 5210-2018）和《农村公路技术状况评定标准》（JTG 5211-2024），对路面损坏状况指数PCI、路面行驶质量指数RQI、路面结构强度指数PSSI进行检测。根据各段相关检测结果，得出路面技术状况指数PQI，根据路面技术状况评定结果，充分了解各路段路面损坏、平整度实际情况，为科学编制公路养护计划，积极实施预防性养护及决策提供客观依据。</w:t>
      </w:r>
    </w:p>
    <w:p w14:paraId="3FC07E23">
      <w:pPr>
        <w:spacing w:line="360" w:lineRule="auto"/>
        <w:ind w:firstLine="240" w:firstLineChars="100"/>
        <w:rPr>
          <w:rFonts w:hint="eastAsia" w:ascii="仿宋_GB2312" w:hAnsi="仿宋_GB2312" w:eastAsia="仿宋_GB2312" w:cs="仿宋_GB2312"/>
          <w:bCs/>
          <w:sz w:val="24"/>
          <w:szCs w:val="24"/>
          <w:lang w:val="en-US" w:eastAsia="zh-CN"/>
        </w:rPr>
      </w:pPr>
      <w:bookmarkStart w:id="3" w:name="_Toc11475"/>
      <w:bookmarkStart w:id="4" w:name="_Toc14363"/>
      <w:bookmarkStart w:id="5" w:name="_Toc75965195"/>
      <w:r>
        <w:rPr>
          <w:rFonts w:hint="eastAsia" w:ascii="仿宋_GB2312" w:hAnsi="仿宋_GB2312" w:eastAsia="仿宋_GB2312" w:cs="仿宋_GB2312"/>
          <w:bCs/>
          <w:sz w:val="24"/>
          <w:szCs w:val="24"/>
          <w:lang w:val="en-US" w:eastAsia="zh-CN"/>
        </w:rPr>
        <w:t>2 检测内容</w:t>
      </w:r>
      <w:bookmarkEnd w:id="3"/>
      <w:bookmarkEnd w:id="4"/>
      <w:bookmarkEnd w:id="5"/>
    </w:p>
    <w:p w14:paraId="5E1607E8">
      <w:pPr>
        <w:spacing w:line="360" w:lineRule="auto"/>
        <w:ind w:firstLine="240" w:firstLineChars="100"/>
        <w:rPr>
          <w:rFonts w:hint="default" w:ascii="仿宋_GB2312" w:hAnsi="仿宋_GB2312" w:eastAsia="仿宋_GB2312" w:cs="仿宋_GB2312"/>
          <w:bCs/>
          <w:sz w:val="24"/>
          <w:szCs w:val="24"/>
          <w:lang w:val="en-US" w:eastAsia="zh-CN"/>
        </w:rPr>
      </w:pPr>
      <w:r>
        <w:rPr>
          <w:rFonts w:hint="eastAsia" w:ascii="仿宋_GB2312" w:hAnsi="仿宋_GB2312" w:eastAsia="仿宋_GB2312" w:cs="仿宋_GB2312"/>
          <w:bCs/>
          <w:sz w:val="24"/>
          <w:szCs w:val="24"/>
          <w:lang w:val="en-US" w:eastAsia="zh-CN"/>
        </w:rPr>
        <w:t>本次检测里程为2879</w:t>
      </w:r>
      <w:bookmarkStart w:id="6" w:name="_GoBack"/>
      <w:bookmarkEnd w:id="6"/>
      <w:r>
        <w:rPr>
          <w:rFonts w:hint="eastAsia" w:ascii="仿宋_GB2312" w:hAnsi="仿宋_GB2312" w:eastAsia="仿宋_GB2312" w:cs="仿宋_GB2312"/>
          <w:bCs/>
          <w:sz w:val="24"/>
          <w:szCs w:val="24"/>
          <w:lang w:val="en-US" w:eastAsia="zh-CN"/>
        </w:rPr>
        <w:t>公里，涉及五个区县，分别为：宜君县、王益区、印台区、耀州区和省级经济技术开发区-新区。</w:t>
      </w:r>
    </w:p>
    <w:p w14:paraId="57BE3AAE">
      <w:pPr>
        <w:spacing w:line="360" w:lineRule="auto"/>
        <w:ind w:firstLine="240" w:firstLineChars="100"/>
        <w:rPr>
          <w:rFonts w:hint="eastAsia" w:ascii="仿宋_GB2312" w:hAnsi="仿宋_GB2312" w:eastAsia="仿宋_GB2312" w:cs="仿宋_GB2312"/>
          <w:bCs/>
          <w:sz w:val="24"/>
          <w:szCs w:val="24"/>
          <w:lang w:val="en-US" w:eastAsia="zh-CN"/>
        </w:rPr>
      </w:pPr>
      <w:r>
        <w:rPr>
          <w:rFonts w:hint="eastAsia" w:ascii="仿宋_GB2312" w:hAnsi="仿宋_GB2312" w:eastAsia="仿宋_GB2312" w:cs="仿宋_GB2312"/>
          <w:bCs/>
          <w:sz w:val="24"/>
          <w:szCs w:val="24"/>
          <w:lang w:val="en-US" w:eastAsia="zh-CN"/>
        </w:rPr>
        <w:t>本次检测主要内容为路面破损率（DR）、国际平整度指数（IRI）、路面弯沉（ι）3个指标，采用路面技术状况指数PQI进行综合评价。</w:t>
      </w:r>
    </w:p>
    <w:p w14:paraId="0A8C6588">
      <w:pPr>
        <w:spacing w:line="360" w:lineRule="auto"/>
        <w:ind w:firstLine="240" w:firstLineChars="100"/>
        <w:rPr>
          <w:rFonts w:hint="eastAsia" w:ascii="仿宋_GB2312" w:hAnsi="仿宋_GB2312" w:eastAsia="仿宋_GB2312" w:cs="仿宋_GB2312"/>
          <w:bCs/>
          <w:sz w:val="24"/>
          <w:szCs w:val="24"/>
          <w:lang w:val="en-US" w:eastAsia="zh-CN"/>
        </w:rPr>
      </w:pPr>
      <w:r>
        <w:rPr>
          <w:rFonts w:hint="eastAsia" w:ascii="仿宋_GB2312" w:hAnsi="仿宋_GB2312" w:eastAsia="仿宋_GB2312" w:cs="仿宋_GB2312"/>
          <w:bCs/>
          <w:sz w:val="24"/>
          <w:szCs w:val="24"/>
          <w:lang w:val="en-US" w:eastAsia="zh-CN"/>
        </w:rPr>
        <w:t>一般农村公路路面类型为沥青路面和水泥混凝土路面且公路等级均为二级、三级、四级，根据《公路技术状况评定标准》（JTG 5210-2018）和《农村公路技术状况评定标准》（JTG 5211-2024）要求，通过检测路面破损状况指数PCI和路面行驶质量指数RQI，得出路面技术状况指数PQI。路面结构强度指数PSSI抽检路面弯沉指标不低于农村公路沥青路面列养里程的5%，依据抽检数据单独评定，不参与PQI计算。</w:t>
      </w:r>
    </w:p>
    <w:p w14:paraId="73EF939C">
      <w:pPr>
        <w:spacing w:line="360" w:lineRule="auto"/>
        <w:ind w:firstLine="240" w:firstLineChars="100"/>
        <w:rPr>
          <w:rFonts w:hint="eastAsia" w:ascii="仿宋_GB2312" w:hAnsi="仿宋_GB2312" w:eastAsia="仿宋_GB2312" w:cs="仿宋_GB2312"/>
          <w:bCs/>
          <w:sz w:val="24"/>
          <w:szCs w:val="24"/>
          <w:lang w:val="en-US" w:eastAsia="zh-CN"/>
        </w:rPr>
      </w:pPr>
      <w:r>
        <w:rPr>
          <w:rFonts w:hint="eastAsia" w:ascii="仿宋_GB2312" w:hAnsi="仿宋_GB2312" w:eastAsia="仿宋_GB2312" w:cs="仿宋_GB2312"/>
          <w:bCs/>
          <w:sz w:val="24"/>
          <w:szCs w:val="24"/>
          <w:lang w:val="en-US" w:eastAsia="zh-CN"/>
        </w:rPr>
        <w:t>路面各检测指标与评价包括要素见下表2-1所示</w:t>
      </w:r>
    </w:p>
    <w:p w14:paraId="6FADCAD8">
      <w:pPr>
        <w:spacing w:line="360" w:lineRule="auto"/>
        <w:ind w:firstLine="240" w:firstLineChars="100"/>
        <w:jc w:val="center"/>
        <w:rPr>
          <w:rFonts w:hint="eastAsia" w:ascii="仿宋_GB2312" w:hAnsi="仿宋_GB2312" w:eastAsia="仿宋_GB2312" w:cs="仿宋_GB2312"/>
          <w:bCs/>
          <w:sz w:val="24"/>
          <w:szCs w:val="24"/>
          <w:lang w:val="en-US" w:eastAsia="zh-CN"/>
        </w:rPr>
      </w:pPr>
    </w:p>
    <w:p w14:paraId="1DD99B3C">
      <w:pPr>
        <w:spacing w:line="360" w:lineRule="auto"/>
        <w:ind w:firstLine="240" w:firstLineChars="100"/>
        <w:jc w:val="center"/>
        <w:rPr>
          <w:rFonts w:hint="eastAsia" w:ascii="仿宋_GB2312" w:hAnsi="仿宋_GB2312" w:eastAsia="仿宋_GB2312" w:cs="仿宋_GB2312"/>
          <w:bCs/>
          <w:sz w:val="24"/>
          <w:szCs w:val="24"/>
          <w:lang w:val="en-US" w:eastAsia="zh-CN"/>
        </w:rPr>
      </w:pPr>
    </w:p>
    <w:p w14:paraId="15A2E3E9">
      <w:pPr>
        <w:spacing w:line="360" w:lineRule="auto"/>
        <w:ind w:firstLine="240" w:firstLineChars="100"/>
        <w:jc w:val="center"/>
        <w:rPr>
          <w:rFonts w:hint="eastAsia" w:ascii="仿宋_GB2312" w:hAnsi="仿宋_GB2312" w:eastAsia="仿宋_GB2312" w:cs="仿宋_GB2312"/>
          <w:bCs/>
          <w:sz w:val="24"/>
          <w:szCs w:val="24"/>
          <w:lang w:val="en-US" w:eastAsia="zh-CN"/>
        </w:rPr>
      </w:pPr>
    </w:p>
    <w:p w14:paraId="39E80714">
      <w:pPr>
        <w:spacing w:line="360" w:lineRule="auto"/>
        <w:ind w:firstLine="240" w:firstLineChars="100"/>
        <w:jc w:val="center"/>
        <w:rPr>
          <w:rFonts w:hint="eastAsia" w:ascii="仿宋_GB2312" w:hAnsi="仿宋_GB2312" w:eastAsia="仿宋_GB2312" w:cs="仿宋_GB2312"/>
          <w:bCs/>
          <w:sz w:val="24"/>
          <w:szCs w:val="24"/>
          <w:lang w:val="en-US" w:eastAsia="zh-CN"/>
        </w:rPr>
      </w:pPr>
    </w:p>
    <w:p w14:paraId="569AB3E9">
      <w:pPr>
        <w:spacing w:line="360" w:lineRule="auto"/>
        <w:ind w:firstLine="240" w:firstLineChars="100"/>
        <w:jc w:val="center"/>
        <w:rPr>
          <w:rFonts w:hint="eastAsia" w:ascii="仿宋_GB2312" w:hAnsi="仿宋_GB2312" w:eastAsia="仿宋_GB2312" w:cs="仿宋_GB2312"/>
          <w:bCs/>
          <w:sz w:val="24"/>
          <w:szCs w:val="24"/>
          <w:lang w:val="en-US" w:eastAsia="zh-CN"/>
        </w:rPr>
      </w:pPr>
    </w:p>
    <w:p w14:paraId="214F4201">
      <w:pPr>
        <w:spacing w:line="360" w:lineRule="auto"/>
        <w:ind w:firstLine="240" w:firstLineChars="100"/>
        <w:jc w:val="center"/>
        <w:rPr>
          <w:rFonts w:hint="eastAsia" w:ascii="仿宋_GB2312" w:hAnsi="仿宋_GB2312" w:eastAsia="仿宋_GB2312" w:cs="仿宋_GB2312"/>
          <w:bCs/>
          <w:sz w:val="24"/>
          <w:szCs w:val="24"/>
          <w:lang w:val="en-US" w:eastAsia="zh-CN"/>
        </w:rPr>
      </w:pPr>
    </w:p>
    <w:p w14:paraId="354839CE">
      <w:pPr>
        <w:spacing w:line="360" w:lineRule="auto"/>
        <w:ind w:firstLine="240" w:firstLineChars="100"/>
        <w:jc w:val="center"/>
        <w:rPr>
          <w:rFonts w:hint="eastAsia" w:ascii="仿宋_GB2312" w:hAnsi="仿宋_GB2312" w:eastAsia="仿宋_GB2312" w:cs="仿宋_GB2312"/>
          <w:bCs/>
          <w:sz w:val="24"/>
          <w:szCs w:val="24"/>
          <w:lang w:val="en-US" w:eastAsia="zh-CN"/>
        </w:rPr>
      </w:pPr>
    </w:p>
    <w:p w14:paraId="2A342CE3">
      <w:pPr>
        <w:spacing w:line="360" w:lineRule="auto"/>
        <w:ind w:firstLine="240" w:firstLineChars="100"/>
        <w:jc w:val="center"/>
        <w:rPr>
          <w:rFonts w:hint="eastAsia" w:ascii="仿宋_GB2312" w:hAnsi="仿宋_GB2312" w:eastAsia="仿宋_GB2312" w:cs="仿宋_GB2312"/>
          <w:bCs/>
          <w:sz w:val="24"/>
          <w:szCs w:val="24"/>
          <w:lang w:val="en-US" w:eastAsia="zh-CN"/>
        </w:rPr>
      </w:pPr>
      <w:r>
        <w:rPr>
          <w:rFonts w:hint="eastAsia" w:ascii="仿宋_GB2312" w:hAnsi="仿宋_GB2312" w:eastAsia="仿宋_GB2312" w:cs="仿宋_GB2312"/>
          <w:bCs/>
          <w:sz w:val="24"/>
          <w:szCs w:val="24"/>
          <w:lang w:val="en-US" w:eastAsia="zh-CN"/>
        </w:rPr>
        <w:t>表2-1 检测指标及评价要素一览表</w:t>
      </w:r>
    </w:p>
    <w:tbl>
      <w:tblPr>
        <w:tblStyle w:val="2"/>
        <w:tblW w:w="4997"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0" w:type="dxa"/>
          <w:bottom w:w="0" w:type="dxa"/>
          <w:right w:w="0" w:type="dxa"/>
        </w:tblCellMar>
      </w:tblPr>
      <w:tblGrid>
        <w:gridCol w:w="347"/>
        <w:gridCol w:w="550"/>
        <w:gridCol w:w="574"/>
        <w:gridCol w:w="2911"/>
        <w:gridCol w:w="1080"/>
        <w:gridCol w:w="1225"/>
        <w:gridCol w:w="884"/>
        <w:gridCol w:w="760"/>
      </w:tblGrid>
      <w:tr w14:paraId="25A72B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tblHeader/>
        </w:trPr>
        <w:tc>
          <w:tcPr>
            <w:tcW w:w="208" w:type="pct"/>
            <w:noWrap w:val="0"/>
            <w:tcMar>
              <w:top w:w="15" w:type="dxa"/>
              <w:left w:w="15" w:type="dxa"/>
              <w:bottom w:w="0" w:type="dxa"/>
              <w:right w:w="15" w:type="dxa"/>
            </w:tcMar>
            <w:vAlign w:val="center"/>
          </w:tcPr>
          <w:p w14:paraId="4BC5A197">
            <w:pPr>
              <w:spacing w:line="300" w:lineRule="exact"/>
              <w:jc w:val="center"/>
              <w:rPr>
                <w:rFonts w:ascii="Times New Roman" w:hAnsi="Times New Roman"/>
                <w:b/>
                <w:sz w:val="18"/>
                <w:szCs w:val="18"/>
              </w:rPr>
            </w:pPr>
            <w:r>
              <w:rPr>
                <w:rFonts w:ascii="Times New Roman" w:hAnsi="宋体"/>
                <w:b/>
                <w:sz w:val="18"/>
                <w:szCs w:val="18"/>
              </w:rPr>
              <w:t>序号</w:t>
            </w:r>
          </w:p>
        </w:tc>
        <w:tc>
          <w:tcPr>
            <w:tcW w:w="330" w:type="pct"/>
            <w:noWrap w:val="0"/>
            <w:tcMar>
              <w:top w:w="15" w:type="dxa"/>
              <w:left w:w="15" w:type="dxa"/>
              <w:bottom w:w="0" w:type="dxa"/>
              <w:right w:w="15" w:type="dxa"/>
            </w:tcMar>
            <w:vAlign w:val="center"/>
          </w:tcPr>
          <w:p w14:paraId="601B0EF3">
            <w:pPr>
              <w:spacing w:line="300" w:lineRule="exact"/>
              <w:jc w:val="center"/>
              <w:rPr>
                <w:rFonts w:ascii="Times New Roman" w:hAnsi="Times New Roman"/>
                <w:b/>
                <w:sz w:val="18"/>
                <w:szCs w:val="18"/>
              </w:rPr>
            </w:pPr>
            <w:r>
              <w:rPr>
                <w:rFonts w:ascii="Times New Roman" w:hAnsi="宋体"/>
                <w:b/>
                <w:sz w:val="18"/>
                <w:szCs w:val="18"/>
              </w:rPr>
              <w:t>检测</w:t>
            </w:r>
          </w:p>
          <w:p w14:paraId="652C8F58">
            <w:pPr>
              <w:spacing w:line="300" w:lineRule="exact"/>
              <w:jc w:val="center"/>
              <w:rPr>
                <w:rFonts w:ascii="Times New Roman" w:hAnsi="Times New Roman"/>
                <w:b/>
                <w:sz w:val="18"/>
                <w:szCs w:val="18"/>
              </w:rPr>
            </w:pPr>
            <w:r>
              <w:rPr>
                <w:rFonts w:ascii="Times New Roman" w:hAnsi="宋体"/>
                <w:b/>
                <w:sz w:val="18"/>
                <w:szCs w:val="18"/>
              </w:rPr>
              <w:t>项目</w:t>
            </w:r>
          </w:p>
        </w:tc>
        <w:tc>
          <w:tcPr>
            <w:tcW w:w="344" w:type="pct"/>
            <w:noWrap w:val="0"/>
            <w:tcMar>
              <w:top w:w="15" w:type="dxa"/>
              <w:left w:w="15" w:type="dxa"/>
              <w:bottom w:w="0" w:type="dxa"/>
              <w:right w:w="15" w:type="dxa"/>
            </w:tcMar>
            <w:vAlign w:val="center"/>
          </w:tcPr>
          <w:p w14:paraId="57FC8FB7">
            <w:pPr>
              <w:spacing w:line="300" w:lineRule="exact"/>
              <w:jc w:val="center"/>
              <w:rPr>
                <w:rFonts w:ascii="Times New Roman" w:hAnsi="Times New Roman"/>
                <w:b/>
                <w:sz w:val="18"/>
                <w:szCs w:val="18"/>
              </w:rPr>
            </w:pPr>
            <w:r>
              <w:rPr>
                <w:rFonts w:ascii="Times New Roman" w:hAnsi="宋体"/>
                <w:b/>
                <w:sz w:val="18"/>
                <w:szCs w:val="18"/>
              </w:rPr>
              <w:t>检测</w:t>
            </w:r>
          </w:p>
          <w:p w14:paraId="3609F231">
            <w:pPr>
              <w:spacing w:line="300" w:lineRule="exact"/>
              <w:jc w:val="center"/>
              <w:rPr>
                <w:rFonts w:ascii="Times New Roman" w:hAnsi="Times New Roman"/>
                <w:b/>
                <w:sz w:val="18"/>
                <w:szCs w:val="18"/>
              </w:rPr>
            </w:pPr>
            <w:r>
              <w:rPr>
                <w:rFonts w:ascii="Times New Roman" w:hAnsi="宋体"/>
                <w:b/>
                <w:sz w:val="18"/>
                <w:szCs w:val="18"/>
              </w:rPr>
              <w:t>位置</w:t>
            </w:r>
          </w:p>
        </w:tc>
        <w:tc>
          <w:tcPr>
            <w:tcW w:w="1746" w:type="pct"/>
            <w:noWrap w:val="0"/>
            <w:tcMar>
              <w:top w:w="15" w:type="dxa"/>
              <w:left w:w="15" w:type="dxa"/>
              <w:bottom w:w="0" w:type="dxa"/>
              <w:right w:w="15" w:type="dxa"/>
            </w:tcMar>
            <w:vAlign w:val="center"/>
          </w:tcPr>
          <w:p w14:paraId="63A1A63F">
            <w:pPr>
              <w:spacing w:line="300" w:lineRule="exact"/>
              <w:jc w:val="center"/>
              <w:rPr>
                <w:rFonts w:ascii="Times New Roman" w:hAnsi="Times New Roman"/>
                <w:b/>
                <w:sz w:val="18"/>
                <w:szCs w:val="18"/>
              </w:rPr>
            </w:pPr>
            <w:r>
              <w:rPr>
                <w:rFonts w:ascii="Times New Roman" w:hAnsi="宋体"/>
                <w:b/>
                <w:sz w:val="18"/>
                <w:szCs w:val="18"/>
              </w:rPr>
              <w:t>检测频率及要求</w:t>
            </w:r>
          </w:p>
        </w:tc>
        <w:tc>
          <w:tcPr>
            <w:tcW w:w="648" w:type="pct"/>
            <w:noWrap w:val="0"/>
            <w:tcMar>
              <w:top w:w="15" w:type="dxa"/>
              <w:left w:w="15" w:type="dxa"/>
              <w:bottom w:w="0" w:type="dxa"/>
              <w:right w:w="15" w:type="dxa"/>
            </w:tcMar>
            <w:vAlign w:val="center"/>
          </w:tcPr>
          <w:p w14:paraId="7FDECDBD">
            <w:pPr>
              <w:spacing w:line="300" w:lineRule="exact"/>
              <w:jc w:val="center"/>
              <w:rPr>
                <w:rFonts w:ascii="Times New Roman" w:hAnsi="Times New Roman"/>
                <w:b/>
                <w:sz w:val="18"/>
                <w:szCs w:val="18"/>
              </w:rPr>
            </w:pPr>
            <w:r>
              <w:rPr>
                <w:rFonts w:ascii="Times New Roman" w:hAnsi="宋体"/>
                <w:b/>
                <w:sz w:val="18"/>
                <w:szCs w:val="18"/>
              </w:rPr>
              <w:t>主要检测仪器</w:t>
            </w:r>
          </w:p>
        </w:tc>
        <w:tc>
          <w:tcPr>
            <w:tcW w:w="735" w:type="pct"/>
            <w:noWrap w:val="0"/>
            <w:tcMar>
              <w:top w:w="15" w:type="dxa"/>
              <w:left w:w="15" w:type="dxa"/>
              <w:bottom w:w="0" w:type="dxa"/>
              <w:right w:w="15" w:type="dxa"/>
            </w:tcMar>
            <w:vAlign w:val="center"/>
          </w:tcPr>
          <w:p w14:paraId="01B5F53F">
            <w:pPr>
              <w:spacing w:line="300" w:lineRule="exact"/>
              <w:jc w:val="center"/>
              <w:rPr>
                <w:rFonts w:ascii="Times New Roman" w:hAnsi="Times New Roman"/>
                <w:b/>
                <w:sz w:val="18"/>
                <w:szCs w:val="18"/>
              </w:rPr>
            </w:pPr>
            <w:r>
              <w:rPr>
                <w:rFonts w:ascii="Times New Roman" w:hAnsi="宋体"/>
                <w:b/>
                <w:sz w:val="18"/>
                <w:szCs w:val="18"/>
              </w:rPr>
              <w:t>测试方法</w:t>
            </w:r>
          </w:p>
        </w:tc>
        <w:tc>
          <w:tcPr>
            <w:tcW w:w="530" w:type="pct"/>
            <w:noWrap w:val="0"/>
            <w:vAlign w:val="center"/>
          </w:tcPr>
          <w:p w14:paraId="7E4958F9">
            <w:pPr>
              <w:spacing w:line="300" w:lineRule="exact"/>
              <w:jc w:val="center"/>
              <w:rPr>
                <w:rFonts w:ascii="Times New Roman" w:hAnsi="Times New Roman"/>
                <w:b/>
                <w:sz w:val="18"/>
                <w:szCs w:val="18"/>
              </w:rPr>
            </w:pPr>
            <w:r>
              <w:rPr>
                <w:rFonts w:ascii="Times New Roman" w:hAnsi="宋体"/>
                <w:b/>
                <w:sz w:val="18"/>
                <w:szCs w:val="18"/>
              </w:rPr>
              <w:t>检测内容</w:t>
            </w:r>
          </w:p>
        </w:tc>
        <w:tc>
          <w:tcPr>
            <w:tcW w:w="456" w:type="pct"/>
            <w:noWrap w:val="0"/>
            <w:vAlign w:val="center"/>
          </w:tcPr>
          <w:p w14:paraId="6B5F6553">
            <w:pPr>
              <w:spacing w:line="300" w:lineRule="exact"/>
              <w:jc w:val="center"/>
              <w:rPr>
                <w:rFonts w:ascii="Times New Roman" w:hAnsi="Times New Roman"/>
                <w:b/>
                <w:sz w:val="18"/>
                <w:szCs w:val="18"/>
              </w:rPr>
            </w:pPr>
            <w:r>
              <w:rPr>
                <w:rFonts w:ascii="Times New Roman" w:hAnsi="宋体"/>
                <w:b/>
                <w:sz w:val="18"/>
                <w:szCs w:val="18"/>
              </w:rPr>
              <w:t>评价指标</w:t>
            </w:r>
          </w:p>
        </w:tc>
      </w:tr>
      <w:tr w14:paraId="48DA73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401" w:hRule="atLeast"/>
        </w:trPr>
        <w:tc>
          <w:tcPr>
            <w:tcW w:w="208" w:type="pct"/>
            <w:noWrap w:val="0"/>
            <w:tcMar>
              <w:top w:w="15" w:type="dxa"/>
              <w:left w:w="15" w:type="dxa"/>
              <w:bottom w:w="0" w:type="dxa"/>
              <w:right w:w="15" w:type="dxa"/>
            </w:tcMar>
            <w:vAlign w:val="center"/>
          </w:tcPr>
          <w:p w14:paraId="34C1320F">
            <w:pPr>
              <w:spacing w:line="300" w:lineRule="exact"/>
              <w:jc w:val="center"/>
              <w:rPr>
                <w:rFonts w:ascii="Times New Roman" w:hAnsi="Times New Roman"/>
                <w:sz w:val="18"/>
                <w:szCs w:val="18"/>
              </w:rPr>
            </w:pPr>
            <w:r>
              <w:rPr>
                <w:rFonts w:ascii="Times New Roman" w:hAnsi="Times New Roman"/>
                <w:sz w:val="18"/>
                <w:szCs w:val="18"/>
              </w:rPr>
              <w:t>1</w:t>
            </w:r>
          </w:p>
        </w:tc>
        <w:tc>
          <w:tcPr>
            <w:tcW w:w="330" w:type="pct"/>
            <w:noWrap w:val="0"/>
            <w:tcMar>
              <w:top w:w="15" w:type="dxa"/>
              <w:left w:w="15" w:type="dxa"/>
              <w:bottom w:w="0" w:type="dxa"/>
              <w:right w:w="15" w:type="dxa"/>
            </w:tcMar>
            <w:vAlign w:val="center"/>
          </w:tcPr>
          <w:p w14:paraId="55786A0E">
            <w:pPr>
              <w:spacing w:line="300" w:lineRule="exact"/>
              <w:jc w:val="center"/>
              <w:rPr>
                <w:rFonts w:hint="eastAsia" w:ascii="Times New Roman" w:hAnsi="宋体"/>
                <w:sz w:val="18"/>
                <w:szCs w:val="18"/>
              </w:rPr>
            </w:pPr>
            <w:r>
              <w:rPr>
                <w:rFonts w:ascii="Times New Roman" w:hAnsi="宋体"/>
                <w:sz w:val="18"/>
                <w:szCs w:val="18"/>
              </w:rPr>
              <w:t>路面</w:t>
            </w:r>
          </w:p>
          <w:p w14:paraId="4E81B755">
            <w:pPr>
              <w:spacing w:line="300" w:lineRule="exact"/>
              <w:jc w:val="center"/>
              <w:rPr>
                <w:rFonts w:ascii="Times New Roman" w:hAnsi="Times New Roman"/>
                <w:sz w:val="18"/>
                <w:szCs w:val="18"/>
              </w:rPr>
            </w:pPr>
            <w:r>
              <w:rPr>
                <w:rFonts w:ascii="Times New Roman" w:hAnsi="宋体"/>
                <w:sz w:val="18"/>
                <w:szCs w:val="18"/>
              </w:rPr>
              <w:t>损坏</w:t>
            </w:r>
          </w:p>
        </w:tc>
        <w:tc>
          <w:tcPr>
            <w:tcW w:w="344" w:type="pct"/>
            <w:noWrap w:val="0"/>
            <w:tcMar>
              <w:top w:w="15" w:type="dxa"/>
              <w:left w:w="15" w:type="dxa"/>
              <w:bottom w:w="0" w:type="dxa"/>
              <w:right w:w="15" w:type="dxa"/>
            </w:tcMar>
            <w:vAlign w:val="center"/>
          </w:tcPr>
          <w:p w14:paraId="46693D3F">
            <w:pPr>
              <w:spacing w:line="300" w:lineRule="exact"/>
              <w:jc w:val="center"/>
              <w:rPr>
                <w:rFonts w:ascii="Times New Roman" w:hAnsi="Times New Roman"/>
                <w:sz w:val="18"/>
                <w:szCs w:val="18"/>
              </w:rPr>
            </w:pPr>
            <w:r>
              <w:rPr>
                <w:rFonts w:ascii="Times New Roman" w:hAnsi="宋体"/>
                <w:sz w:val="18"/>
                <w:szCs w:val="18"/>
              </w:rPr>
              <w:t>行车道</w:t>
            </w:r>
          </w:p>
        </w:tc>
        <w:tc>
          <w:tcPr>
            <w:tcW w:w="1746" w:type="pct"/>
            <w:noWrap w:val="0"/>
            <w:tcMar>
              <w:top w:w="15" w:type="dxa"/>
              <w:left w:w="15" w:type="dxa"/>
              <w:bottom w:w="0" w:type="dxa"/>
              <w:right w:w="15" w:type="dxa"/>
            </w:tcMar>
            <w:vAlign w:val="center"/>
          </w:tcPr>
          <w:p w14:paraId="19343CEB">
            <w:pPr>
              <w:spacing w:line="300" w:lineRule="exact"/>
              <w:ind w:left="118" w:leftChars="42" w:right="59" w:rightChars="21"/>
              <w:rPr>
                <w:rFonts w:ascii="Times New Roman" w:hAnsi="Times New Roman"/>
                <w:sz w:val="18"/>
                <w:szCs w:val="18"/>
              </w:rPr>
            </w:pPr>
            <w:r>
              <w:rPr>
                <w:rFonts w:ascii="Times New Roman" w:hAnsi="宋体"/>
                <w:sz w:val="18"/>
                <w:szCs w:val="18"/>
              </w:rPr>
              <w:t>纵向连续检测，保存</w:t>
            </w:r>
            <w:r>
              <w:rPr>
                <w:rFonts w:ascii="Times New Roman" w:hAnsi="Times New Roman"/>
                <w:sz w:val="18"/>
                <w:szCs w:val="18"/>
              </w:rPr>
              <w:t>10m</w:t>
            </w:r>
            <w:r>
              <w:rPr>
                <w:rFonts w:ascii="Times New Roman" w:hAnsi="宋体"/>
                <w:sz w:val="18"/>
                <w:szCs w:val="18"/>
              </w:rPr>
              <w:t>检测数据，每</w:t>
            </w:r>
            <w:r>
              <w:rPr>
                <w:rFonts w:ascii="Times New Roman" w:hAnsi="Times New Roman"/>
                <w:sz w:val="18"/>
                <w:szCs w:val="18"/>
              </w:rPr>
              <w:t>1000</w:t>
            </w:r>
            <w:r>
              <w:rPr>
                <w:rFonts w:ascii="Times New Roman" w:hAnsi="宋体"/>
                <w:sz w:val="18"/>
                <w:szCs w:val="18"/>
              </w:rPr>
              <w:t>米检测数据分别进行统计评定</w:t>
            </w:r>
            <w:r>
              <w:rPr>
                <w:rFonts w:hint="eastAsia" w:ascii="Times New Roman" w:hAnsi="宋体"/>
                <w:sz w:val="18"/>
                <w:szCs w:val="18"/>
              </w:rPr>
              <w:t>。</w:t>
            </w:r>
          </w:p>
        </w:tc>
        <w:tc>
          <w:tcPr>
            <w:tcW w:w="648" w:type="pct"/>
            <w:noWrap w:val="0"/>
            <w:tcMar>
              <w:top w:w="15" w:type="dxa"/>
              <w:left w:w="15" w:type="dxa"/>
              <w:bottom w:w="0" w:type="dxa"/>
              <w:right w:w="15" w:type="dxa"/>
            </w:tcMar>
            <w:vAlign w:val="center"/>
          </w:tcPr>
          <w:p w14:paraId="5BA137CE">
            <w:pPr>
              <w:spacing w:line="300" w:lineRule="exact"/>
              <w:jc w:val="center"/>
              <w:rPr>
                <w:rFonts w:ascii="Times New Roman" w:hAnsi="宋体"/>
                <w:kern w:val="0"/>
                <w:sz w:val="18"/>
                <w:szCs w:val="18"/>
              </w:rPr>
            </w:pPr>
            <w:r>
              <w:rPr>
                <w:rFonts w:ascii="Times New Roman" w:hAnsi="宋体"/>
                <w:kern w:val="0"/>
                <w:sz w:val="18"/>
                <w:szCs w:val="18"/>
              </w:rPr>
              <w:t>道路综合</w:t>
            </w:r>
          </w:p>
          <w:p w14:paraId="7B3A3375">
            <w:pPr>
              <w:spacing w:line="300" w:lineRule="exact"/>
              <w:jc w:val="center"/>
              <w:rPr>
                <w:rFonts w:ascii="Times New Roman" w:hAnsi="Times New Roman"/>
                <w:sz w:val="18"/>
                <w:szCs w:val="18"/>
              </w:rPr>
            </w:pPr>
            <w:r>
              <w:rPr>
                <w:rFonts w:ascii="Times New Roman" w:hAnsi="宋体"/>
                <w:kern w:val="0"/>
                <w:sz w:val="18"/>
                <w:szCs w:val="18"/>
              </w:rPr>
              <w:t>检测车</w:t>
            </w:r>
          </w:p>
        </w:tc>
        <w:tc>
          <w:tcPr>
            <w:tcW w:w="735" w:type="pct"/>
            <w:noWrap w:val="0"/>
            <w:tcMar>
              <w:top w:w="15" w:type="dxa"/>
              <w:left w:w="15" w:type="dxa"/>
              <w:bottom w:w="0" w:type="dxa"/>
              <w:right w:w="15" w:type="dxa"/>
            </w:tcMar>
            <w:vAlign w:val="center"/>
          </w:tcPr>
          <w:p w14:paraId="1BA11FE9">
            <w:pPr>
              <w:spacing w:line="300" w:lineRule="exact"/>
              <w:jc w:val="center"/>
              <w:rPr>
                <w:rFonts w:ascii="Times New Roman" w:hAnsi="Times New Roman"/>
                <w:sz w:val="18"/>
                <w:szCs w:val="18"/>
              </w:rPr>
            </w:pPr>
            <w:r>
              <w:rPr>
                <w:rFonts w:ascii="Times New Roman" w:hAnsi="Times New Roman"/>
                <w:sz w:val="18"/>
                <w:szCs w:val="18"/>
              </w:rPr>
              <w:t>JTG/T E61-2014</w:t>
            </w:r>
          </w:p>
        </w:tc>
        <w:tc>
          <w:tcPr>
            <w:tcW w:w="530" w:type="pct"/>
            <w:noWrap w:val="0"/>
            <w:vAlign w:val="center"/>
          </w:tcPr>
          <w:p w14:paraId="70591F25">
            <w:pPr>
              <w:spacing w:line="300" w:lineRule="exact"/>
              <w:jc w:val="center"/>
              <w:rPr>
                <w:rFonts w:ascii="Times New Roman" w:hAnsi="Times New Roman"/>
                <w:sz w:val="18"/>
                <w:szCs w:val="18"/>
              </w:rPr>
            </w:pPr>
            <w:r>
              <w:rPr>
                <w:rFonts w:ascii="Times New Roman" w:hAnsi="宋体"/>
                <w:sz w:val="18"/>
                <w:szCs w:val="18"/>
              </w:rPr>
              <w:t>路面综合破损率</w:t>
            </w:r>
            <w:r>
              <w:rPr>
                <w:rFonts w:ascii="Times New Roman" w:hAnsi="Times New Roman"/>
                <w:sz w:val="18"/>
                <w:szCs w:val="18"/>
              </w:rPr>
              <w:t>DR</w:t>
            </w:r>
          </w:p>
        </w:tc>
        <w:tc>
          <w:tcPr>
            <w:tcW w:w="456" w:type="pct"/>
            <w:noWrap w:val="0"/>
            <w:vAlign w:val="center"/>
          </w:tcPr>
          <w:p w14:paraId="73432BB5">
            <w:pPr>
              <w:spacing w:line="300" w:lineRule="exact"/>
              <w:jc w:val="center"/>
              <w:rPr>
                <w:rFonts w:ascii="Times New Roman" w:hAnsi="Times New Roman"/>
                <w:sz w:val="18"/>
                <w:szCs w:val="18"/>
              </w:rPr>
            </w:pPr>
            <w:r>
              <w:rPr>
                <w:rFonts w:ascii="Times New Roman" w:hAnsi="宋体"/>
                <w:sz w:val="18"/>
                <w:szCs w:val="18"/>
              </w:rPr>
              <w:t>路面损坏状况指数</w:t>
            </w:r>
            <w:r>
              <w:rPr>
                <w:rFonts w:ascii="Times New Roman" w:hAnsi="Times New Roman"/>
                <w:sz w:val="18"/>
                <w:szCs w:val="18"/>
              </w:rPr>
              <w:t>PCI</w:t>
            </w:r>
          </w:p>
        </w:tc>
      </w:tr>
      <w:tr w14:paraId="04B80D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851" w:hRule="atLeast"/>
        </w:trPr>
        <w:tc>
          <w:tcPr>
            <w:tcW w:w="208" w:type="pct"/>
            <w:noWrap w:val="0"/>
            <w:tcMar>
              <w:top w:w="15" w:type="dxa"/>
              <w:left w:w="15" w:type="dxa"/>
              <w:bottom w:w="0" w:type="dxa"/>
              <w:right w:w="15" w:type="dxa"/>
            </w:tcMar>
            <w:vAlign w:val="center"/>
          </w:tcPr>
          <w:p w14:paraId="16894F48">
            <w:pPr>
              <w:spacing w:line="300" w:lineRule="exact"/>
              <w:jc w:val="center"/>
              <w:rPr>
                <w:rFonts w:ascii="Times New Roman" w:hAnsi="Times New Roman"/>
                <w:sz w:val="18"/>
                <w:szCs w:val="18"/>
              </w:rPr>
            </w:pPr>
            <w:r>
              <w:rPr>
                <w:rFonts w:ascii="Times New Roman" w:hAnsi="Times New Roman"/>
                <w:sz w:val="18"/>
                <w:szCs w:val="18"/>
              </w:rPr>
              <w:t>2</w:t>
            </w:r>
          </w:p>
        </w:tc>
        <w:tc>
          <w:tcPr>
            <w:tcW w:w="330" w:type="pct"/>
            <w:noWrap w:val="0"/>
            <w:tcMar>
              <w:top w:w="15" w:type="dxa"/>
              <w:left w:w="15" w:type="dxa"/>
              <w:bottom w:w="0" w:type="dxa"/>
              <w:right w:w="15" w:type="dxa"/>
            </w:tcMar>
            <w:vAlign w:val="center"/>
          </w:tcPr>
          <w:p w14:paraId="46D31FD3">
            <w:pPr>
              <w:spacing w:line="300" w:lineRule="exact"/>
              <w:jc w:val="center"/>
              <w:rPr>
                <w:rFonts w:hint="eastAsia" w:ascii="Times New Roman" w:hAnsi="宋体"/>
                <w:sz w:val="18"/>
                <w:szCs w:val="18"/>
              </w:rPr>
            </w:pPr>
            <w:r>
              <w:rPr>
                <w:rFonts w:ascii="Times New Roman" w:hAnsi="宋体"/>
                <w:sz w:val="18"/>
                <w:szCs w:val="18"/>
              </w:rPr>
              <w:t>路面</w:t>
            </w:r>
          </w:p>
          <w:p w14:paraId="1E641515">
            <w:pPr>
              <w:spacing w:line="300" w:lineRule="exact"/>
              <w:jc w:val="center"/>
              <w:rPr>
                <w:rFonts w:ascii="Times New Roman" w:hAnsi="Times New Roman"/>
                <w:sz w:val="18"/>
                <w:szCs w:val="18"/>
              </w:rPr>
            </w:pPr>
            <w:r>
              <w:rPr>
                <w:rFonts w:ascii="Times New Roman" w:hAnsi="宋体"/>
                <w:sz w:val="18"/>
                <w:szCs w:val="18"/>
              </w:rPr>
              <w:t>平整度</w:t>
            </w:r>
          </w:p>
        </w:tc>
        <w:tc>
          <w:tcPr>
            <w:tcW w:w="344" w:type="pct"/>
            <w:noWrap w:val="0"/>
            <w:tcMar>
              <w:top w:w="15" w:type="dxa"/>
              <w:left w:w="15" w:type="dxa"/>
              <w:bottom w:w="0" w:type="dxa"/>
              <w:right w:w="15" w:type="dxa"/>
            </w:tcMar>
            <w:vAlign w:val="center"/>
          </w:tcPr>
          <w:p w14:paraId="40B7FC56">
            <w:pPr>
              <w:spacing w:line="300" w:lineRule="exact"/>
              <w:jc w:val="center"/>
              <w:rPr>
                <w:rFonts w:ascii="Times New Roman" w:hAnsi="Times New Roman"/>
                <w:sz w:val="18"/>
                <w:szCs w:val="18"/>
              </w:rPr>
            </w:pPr>
            <w:r>
              <w:rPr>
                <w:rFonts w:ascii="Times New Roman" w:hAnsi="宋体"/>
                <w:sz w:val="18"/>
                <w:szCs w:val="18"/>
              </w:rPr>
              <w:t>行车道</w:t>
            </w:r>
          </w:p>
        </w:tc>
        <w:tc>
          <w:tcPr>
            <w:tcW w:w="1746" w:type="pct"/>
            <w:noWrap w:val="0"/>
            <w:tcMar>
              <w:top w:w="15" w:type="dxa"/>
              <w:left w:w="15" w:type="dxa"/>
              <w:bottom w:w="0" w:type="dxa"/>
              <w:right w:w="15" w:type="dxa"/>
            </w:tcMar>
            <w:vAlign w:val="center"/>
          </w:tcPr>
          <w:p w14:paraId="629D586D">
            <w:pPr>
              <w:spacing w:line="300" w:lineRule="exact"/>
              <w:ind w:left="118" w:leftChars="42" w:right="59" w:rightChars="21"/>
              <w:rPr>
                <w:rFonts w:ascii="Times New Roman" w:hAnsi="Times New Roman"/>
                <w:sz w:val="18"/>
                <w:szCs w:val="18"/>
              </w:rPr>
            </w:pPr>
            <w:r>
              <w:rPr>
                <w:rFonts w:ascii="Times New Roman" w:hAnsi="宋体"/>
                <w:sz w:val="18"/>
                <w:szCs w:val="18"/>
              </w:rPr>
              <w:t>纵向连续检测，保存</w:t>
            </w:r>
            <w:r>
              <w:rPr>
                <w:rFonts w:ascii="Times New Roman" w:hAnsi="Times New Roman"/>
                <w:sz w:val="18"/>
                <w:szCs w:val="18"/>
              </w:rPr>
              <w:t>10m</w:t>
            </w:r>
            <w:r>
              <w:rPr>
                <w:rFonts w:ascii="Times New Roman" w:hAnsi="宋体"/>
                <w:sz w:val="18"/>
                <w:szCs w:val="18"/>
              </w:rPr>
              <w:t>检测数据，每</w:t>
            </w:r>
            <w:r>
              <w:rPr>
                <w:rFonts w:ascii="Times New Roman" w:hAnsi="Times New Roman"/>
                <w:sz w:val="18"/>
                <w:szCs w:val="18"/>
              </w:rPr>
              <w:t>1000</w:t>
            </w:r>
            <w:r>
              <w:rPr>
                <w:rFonts w:ascii="Times New Roman" w:hAnsi="宋体"/>
                <w:sz w:val="18"/>
                <w:szCs w:val="18"/>
              </w:rPr>
              <w:t>米检测数据分别进行统计评定</w:t>
            </w:r>
            <w:r>
              <w:rPr>
                <w:rFonts w:hint="eastAsia" w:ascii="Times New Roman" w:hAnsi="宋体"/>
                <w:sz w:val="18"/>
                <w:szCs w:val="18"/>
              </w:rPr>
              <w:t>。</w:t>
            </w:r>
          </w:p>
        </w:tc>
        <w:tc>
          <w:tcPr>
            <w:tcW w:w="648" w:type="pct"/>
            <w:noWrap w:val="0"/>
            <w:tcMar>
              <w:top w:w="15" w:type="dxa"/>
              <w:left w:w="15" w:type="dxa"/>
              <w:bottom w:w="0" w:type="dxa"/>
              <w:right w:w="15" w:type="dxa"/>
            </w:tcMar>
            <w:vAlign w:val="center"/>
          </w:tcPr>
          <w:p w14:paraId="39B7855D">
            <w:pPr>
              <w:spacing w:line="300" w:lineRule="exact"/>
              <w:jc w:val="center"/>
              <w:rPr>
                <w:rFonts w:ascii="Times New Roman" w:hAnsi="宋体"/>
                <w:kern w:val="0"/>
                <w:sz w:val="18"/>
                <w:szCs w:val="18"/>
              </w:rPr>
            </w:pPr>
            <w:r>
              <w:rPr>
                <w:rFonts w:ascii="Times New Roman" w:hAnsi="宋体"/>
                <w:kern w:val="0"/>
                <w:sz w:val="18"/>
                <w:szCs w:val="18"/>
              </w:rPr>
              <w:t>道路综合</w:t>
            </w:r>
          </w:p>
          <w:p w14:paraId="56C43F52">
            <w:pPr>
              <w:spacing w:line="300" w:lineRule="exact"/>
              <w:jc w:val="center"/>
              <w:rPr>
                <w:rFonts w:ascii="Times New Roman" w:hAnsi="Times New Roman"/>
                <w:sz w:val="18"/>
                <w:szCs w:val="18"/>
              </w:rPr>
            </w:pPr>
            <w:r>
              <w:rPr>
                <w:rFonts w:ascii="Times New Roman" w:hAnsi="宋体"/>
                <w:kern w:val="0"/>
                <w:sz w:val="18"/>
                <w:szCs w:val="18"/>
              </w:rPr>
              <w:t>检测车</w:t>
            </w:r>
          </w:p>
        </w:tc>
        <w:tc>
          <w:tcPr>
            <w:tcW w:w="735" w:type="pct"/>
            <w:noWrap w:val="0"/>
            <w:tcMar>
              <w:top w:w="15" w:type="dxa"/>
              <w:left w:w="15" w:type="dxa"/>
              <w:bottom w:w="0" w:type="dxa"/>
              <w:right w:w="15" w:type="dxa"/>
            </w:tcMar>
            <w:vAlign w:val="center"/>
          </w:tcPr>
          <w:p w14:paraId="0ED8947D">
            <w:pPr>
              <w:spacing w:line="300" w:lineRule="exact"/>
              <w:jc w:val="center"/>
              <w:rPr>
                <w:rFonts w:ascii="Times New Roman" w:hAnsi="Times New Roman"/>
                <w:sz w:val="18"/>
                <w:szCs w:val="18"/>
              </w:rPr>
            </w:pPr>
            <w:r>
              <w:rPr>
                <w:rFonts w:ascii="Times New Roman" w:hAnsi="Times New Roman"/>
                <w:sz w:val="18"/>
                <w:szCs w:val="18"/>
              </w:rPr>
              <w:t>JTG/T E61-2014</w:t>
            </w:r>
          </w:p>
        </w:tc>
        <w:tc>
          <w:tcPr>
            <w:tcW w:w="530" w:type="pct"/>
            <w:noWrap w:val="0"/>
            <w:vAlign w:val="center"/>
          </w:tcPr>
          <w:p w14:paraId="790A7877">
            <w:pPr>
              <w:spacing w:line="300" w:lineRule="exact"/>
              <w:jc w:val="center"/>
              <w:rPr>
                <w:rFonts w:ascii="Times New Roman" w:hAnsi="Times New Roman"/>
                <w:sz w:val="18"/>
                <w:szCs w:val="18"/>
              </w:rPr>
            </w:pPr>
            <w:r>
              <w:rPr>
                <w:rFonts w:ascii="Times New Roman" w:hAnsi="宋体"/>
                <w:sz w:val="18"/>
                <w:szCs w:val="18"/>
              </w:rPr>
              <w:t>国际平整度指数</w:t>
            </w:r>
            <w:r>
              <w:rPr>
                <w:rFonts w:ascii="Times New Roman" w:hAnsi="Times New Roman"/>
                <w:sz w:val="18"/>
                <w:szCs w:val="18"/>
              </w:rPr>
              <w:t>IRI</w:t>
            </w:r>
          </w:p>
        </w:tc>
        <w:tc>
          <w:tcPr>
            <w:tcW w:w="456" w:type="pct"/>
            <w:noWrap w:val="0"/>
            <w:vAlign w:val="center"/>
          </w:tcPr>
          <w:p w14:paraId="1B9FE1A7">
            <w:pPr>
              <w:spacing w:line="300" w:lineRule="exact"/>
              <w:jc w:val="center"/>
              <w:rPr>
                <w:rFonts w:ascii="Times New Roman" w:hAnsi="Times New Roman"/>
                <w:sz w:val="18"/>
                <w:szCs w:val="18"/>
              </w:rPr>
            </w:pPr>
            <w:r>
              <w:rPr>
                <w:rFonts w:ascii="Times New Roman" w:hAnsi="宋体"/>
                <w:sz w:val="18"/>
                <w:szCs w:val="18"/>
              </w:rPr>
              <w:t>路面行驶质量指数</w:t>
            </w:r>
            <w:r>
              <w:rPr>
                <w:rFonts w:ascii="Times New Roman" w:hAnsi="Times New Roman"/>
                <w:sz w:val="18"/>
                <w:szCs w:val="18"/>
              </w:rPr>
              <w:t>RQI</w:t>
            </w:r>
          </w:p>
        </w:tc>
      </w:tr>
      <w:tr w14:paraId="323940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851" w:hRule="atLeast"/>
        </w:trPr>
        <w:tc>
          <w:tcPr>
            <w:tcW w:w="208" w:type="pct"/>
            <w:noWrap w:val="0"/>
            <w:tcMar>
              <w:top w:w="15" w:type="dxa"/>
              <w:left w:w="15" w:type="dxa"/>
              <w:bottom w:w="0" w:type="dxa"/>
              <w:right w:w="15" w:type="dxa"/>
            </w:tcMar>
            <w:vAlign w:val="center"/>
          </w:tcPr>
          <w:p w14:paraId="649FF660">
            <w:pPr>
              <w:spacing w:line="300" w:lineRule="exact"/>
              <w:jc w:val="center"/>
              <w:rPr>
                <w:rFonts w:hint="eastAsia" w:ascii="Times New Roman" w:hAnsi="Times New Roman" w:eastAsia="宋体"/>
                <w:sz w:val="18"/>
                <w:szCs w:val="18"/>
                <w:lang w:val="en-US" w:eastAsia="zh-CN"/>
              </w:rPr>
            </w:pPr>
            <w:r>
              <w:rPr>
                <w:rFonts w:hint="eastAsia" w:ascii="Times New Roman" w:hAnsi="Times New Roman"/>
                <w:sz w:val="18"/>
                <w:szCs w:val="18"/>
                <w:lang w:val="en-US" w:eastAsia="zh-CN"/>
              </w:rPr>
              <w:t>3</w:t>
            </w:r>
          </w:p>
        </w:tc>
        <w:tc>
          <w:tcPr>
            <w:tcW w:w="330" w:type="pct"/>
            <w:noWrap w:val="0"/>
            <w:tcMar>
              <w:top w:w="15" w:type="dxa"/>
              <w:left w:w="15" w:type="dxa"/>
              <w:bottom w:w="0" w:type="dxa"/>
              <w:right w:w="15" w:type="dxa"/>
            </w:tcMar>
            <w:vAlign w:val="center"/>
          </w:tcPr>
          <w:p w14:paraId="3E986D37">
            <w:pPr>
              <w:spacing w:line="300" w:lineRule="exact"/>
              <w:jc w:val="center"/>
              <w:rPr>
                <w:rFonts w:hint="eastAsia" w:ascii="Times New Roman" w:hAnsi="宋体" w:eastAsia="宋体"/>
                <w:sz w:val="18"/>
                <w:szCs w:val="18"/>
                <w:lang w:eastAsia="zh-CN"/>
              </w:rPr>
            </w:pPr>
            <w:r>
              <w:rPr>
                <w:rFonts w:hint="eastAsia" w:ascii="Times New Roman" w:hAnsi="宋体"/>
                <w:sz w:val="18"/>
                <w:szCs w:val="18"/>
                <w:lang w:eastAsia="zh-CN"/>
              </w:rPr>
              <w:t>路面弯沉</w:t>
            </w:r>
          </w:p>
        </w:tc>
        <w:tc>
          <w:tcPr>
            <w:tcW w:w="344" w:type="pct"/>
            <w:noWrap w:val="0"/>
            <w:tcMar>
              <w:top w:w="15" w:type="dxa"/>
              <w:left w:w="15" w:type="dxa"/>
              <w:bottom w:w="0" w:type="dxa"/>
              <w:right w:w="15" w:type="dxa"/>
            </w:tcMar>
            <w:vAlign w:val="center"/>
          </w:tcPr>
          <w:p w14:paraId="21A56D25">
            <w:pPr>
              <w:spacing w:line="300" w:lineRule="exact"/>
              <w:jc w:val="center"/>
              <w:rPr>
                <w:rFonts w:ascii="Times New Roman" w:hAnsi="宋体"/>
                <w:sz w:val="18"/>
                <w:szCs w:val="18"/>
              </w:rPr>
            </w:pPr>
            <w:r>
              <w:rPr>
                <w:rFonts w:ascii="Times New Roman" w:hAnsi="宋体"/>
                <w:sz w:val="18"/>
                <w:szCs w:val="18"/>
              </w:rPr>
              <w:t>行车道</w:t>
            </w:r>
          </w:p>
        </w:tc>
        <w:tc>
          <w:tcPr>
            <w:tcW w:w="1746" w:type="pct"/>
            <w:noWrap w:val="0"/>
            <w:tcMar>
              <w:top w:w="15" w:type="dxa"/>
              <w:left w:w="15" w:type="dxa"/>
              <w:bottom w:w="0" w:type="dxa"/>
              <w:right w:w="15" w:type="dxa"/>
            </w:tcMar>
            <w:vAlign w:val="center"/>
          </w:tcPr>
          <w:p w14:paraId="10CA1F87">
            <w:pPr>
              <w:spacing w:line="300" w:lineRule="exact"/>
              <w:ind w:left="118" w:leftChars="42" w:right="59" w:rightChars="21"/>
              <w:rPr>
                <w:rFonts w:ascii="Times New Roman" w:hAnsi="宋体"/>
                <w:sz w:val="18"/>
                <w:szCs w:val="18"/>
              </w:rPr>
            </w:pPr>
            <w:r>
              <w:rPr>
                <w:rFonts w:hint="eastAsia" w:ascii="Times New Roman" w:hAnsi="宋体"/>
                <w:sz w:val="18"/>
                <w:szCs w:val="18"/>
              </w:rPr>
              <w:t>每车道路面弯沉</w:t>
            </w:r>
            <w:r>
              <w:rPr>
                <w:rFonts w:hint="eastAsia" w:ascii="Times New Roman" w:hAnsi="宋体"/>
                <w:sz w:val="18"/>
                <w:szCs w:val="18"/>
                <w:lang w:val="en-US" w:eastAsia="zh-CN"/>
              </w:rPr>
              <w:t>ι</w:t>
            </w:r>
            <w:r>
              <w:rPr>
                <w:rFonts w:hint="eastAsia" w:ascii="Times New Roman" w:hAnsi="宋体"/>
                <w:sz w:val="18"/>
                <w:szCs w:val="18"/>
              </w:rPr>
              <w:t>的测点数量不应少于20点/km。</w:t>
            </w:r>
          </w:p>
        </w:tc>
        <w:tc>
          <w:tcPr>
            <w:tcW w:w="648" w:type="pct"/>
            <w:noWrap w:val="0"/>
            <w:tcMar>
              <w:top w:w="15" w:type="dxa"/>
              <w:left w:w="15" w:type="dxa"/>
              <w:bottom w:w="0" w:type="dxa"/>
              <w:right w:w="15" w:type="dxa"/>
            </w:tcMar>
            <w:vAlign w:val="center"/>
          </w:tcPr>
          <w:p w14:paraId="131AC884">
            <w:pPr>
              <w:spacing w:line="300" w:lineRule="exact"/>
              <w:jc w:val="center"/>
              <w:rPr>
                <w:rFonts w:hint="eastAsia" w:ascii="Times New Roman" w:hAnsi="宋体" w:eastAsia="宋体"/>
                <w:kern w:val="0"/>
                <w:sz w:val="18"/>
                <w:szCs w:val="18"/>
                <w:lang w:eastAsia="zh-CN"/>
              </w:rPr>
            </w:pPr>
            <w:r>
              <w:rPr>
                <w:rFonts w:hint="eastAsia" w:ascii="Times New Roman" w:hAnsi="宋体"/>
                <w:kern w:val="0"/>
                <w:sz w:val="18"/>
                <w:szCs w:val="18"/>
                <w:lang w:eastAsia="zh-CN"/>
              </w:rPr>
              <w:t>落锤式弯沉仪</w:t>
            </w:r>
          </w:p>
        </w:tc>
        <w:tc>
          <w:tcPr>
            <w:tcW w:w="735" w:type="pct"/>
            <w:noWrap w:val="0"/>
            <w:tcMar>
              <w:top w:w="15" w:type="dxa"/>
              <w:left w:w="15" w:type="dxa"/>
              <w:bottom w:w="0" w:type="dxa"/>
              <w:right w:w="15" w:type="dxa"/>
            </w:tcMar>
            <w:vAlign w:val="center"/>
          </w:tcPr>
          <w:p w14:paraId="08C29C21">
            <w:pPr>
              <w:spacing w:line="300" w:lineRule="exact"/>
              <w:jc w:val="center"/>
              <w:rPr>
                <w:rFonts w:ascii="Times New Roman" w:hAnsi="Times New Roman"/>
                <w:sz w:val="18"/>
                <w:szCs w:val="18"/>
              </w:rPr>
            </w:pPr>
            <w:r>
              <w:rPr>
                <w:rFonts w:ascii="Times New Roman" w:hAnsi="Times New Roman"/>
                <w:sz w:val="18"/>
                <w:szCs w:val="18"/>
              </w:rPr>
              <w:t xml:space="preserve">JTG </w:t>
            </w:r>
            <w:r>
              <w:rPr>
                <w:rFonts w:hint="eastAsia" w:ascii="Times New Roman" w:hAnsi="Times New Roman"/>
                <w:sz w:val="18"/>
                <w:szCs w:val="18"/>
              </w:rPr>
              <w:t>3450-2019</w:t>
            </w:r>
          </w:p>
        </w:tc>
        <w:tc>
          <w:tcPr>
            <w:tcW w:w="530" w:type="pct"/>
            <w:noWrap w:val="0"/>
            <w:vAlign w:val="center"/>
          </w:tcPr>
          <w:p w14:paraId="5E90179E">
            <w:pPr>
              <w:spacing w:line="300" w:lineRule="exact"/>
              <w:jc w:val="center"/>
              <w:rPr>
                <w:rFonts w:ascii="Times New Roman" w:hAnsi="宋体"/>
                <w:sz w:val="18"/>
                <w:szCs w:val="18"/>
              </w:rPr>
            </w:pPr>
            <w:r>
              <w:rPr>
                <w:rFonts w:hint="eastAsia" w:ascii="Times New Roman" w:hAnsi="宋体"/>
                <w:sz w:val="18"/>
                <w:szCs w:val="18"/>
                <w:lang w:eastAsia="zh-CN"/>
              </w:rPr>
              <w:t>路面弯沉</w:t>
            </w:r>
            <w:r>
              <w:rPr>
                <w:rFonts w:hint="eastAsia" w:ascii="Times New Roman" w:hAnsi="宋体"/>
                <w:sz w:val="18"/>
                <w:szCs w:val="18"/>
                <w:lang w:val="en-US" w:eastAsia="zh-CN"/>
              </w:rPr>
              <w:t>l</w:t>
            </w:r>
          </w:p>
        </w:tc>
        <w:tc>
          <w:tcPr>
            <w:tcW w:w="456" w:type="pct"/>
            <w:noWrap w:val="0"/>
            <w:vAlign w:val="center"/>
          </w:tcPr>
          <w:p w14:paraId="645B083F">
            <w:pPr>
              <w:spacing w:line="300" w:lineRule="exact"/>
              <w:jc w:val="center"/>
              <w:rPr>
                <w:rFonts w:ascii="Times New Roman" w:hAnsi="宋体"/>
                <w:sz w:val="18"/>
                <w:szCs w:val="18"/>
                <w:lang w:val="en-US" w:eastAsia="zh-CN" w:bidi="ar-SA"/>
              </w:rPr>
            </w:pPr>
            <w:r>
              <w:rPr>
                <w:rFonts w:hint="eastAsia" w:ascii="Times New Roman" w:hAnsi="宋体"/>
                <w:sz w:val="18"/>
                <w:szCs w:val="18"/>
                <w:lang w:eastAsia="zh-CN"/>
              </w:rPr>
              <w:t>路面结构强度指数</w:t>
            </w:r>
            <w:r>
              <w:rPr>
                <w:rFonts w:hint="eastAsia" w:ascii="Times New Roman" w:hAnsi="宋体"/>
                <w:sz w:val="18"/>
                <w:szCs w:val="18"/>
                <w:lang w:val="en-US" w:eastAsia="zh-CN"/>
              </w:rPr>
              <w:t>PSSI</w:t>
            </w:r>
          </w:p>
        </w:tc>
      </w:tr>
    </w:tbl>
    <w:p w14:paraId="47218D7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22D61C5"/>
    <w:rsid w:val="67B55F3D"/>
    <w:rsid w:val="6A1132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756</Words>
  <Characters>887</Characters>
  <Lines>0</Lines>
  <Paragraphs>0</Paragraphs>
  <TotalTime>6</TotalTime>
  <ScaleCrop>false</ScaleCrop>
  <LinksUpToDate>false</LinksUpToDate>
  <CharactersWithSpaces>896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2026-10-22T11:41:00Z</dcterms:created>
  <dc:creator>Administrator</dc:creator>
  <cp:lastModifiedBy>宋璟雯</cp:lastModifiedBy>
  <dcterms:modified xsi:type="dcterms:W3CDTF">2026-10-22T11:59:08Z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eyJoZGlkIjoiNjMzZmQ0ZDk5YzU0YjllNTdjMTBiZDMxYTg3ZmM2YmYiLCJ1c2VySWQiOiIxNDUxODIyODU0In0=</vt:lpwstr>
  </property>
  <property fmtid="{D5CDD505-2E9C-101B-9397-08002B2CF9AE}" pid="4" name="ICV">
    <vt:lpwstr>6BCD89D084654724BB5703534EB2017B_12</vt:lpwstr>
  </property>
</Properties>
</file>