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版本号：ZMZB2026XYZY--19320260726001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2026年仪祉图书馆纸质特价图书采购项目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ZMZB2026XYZY--193</w:t>
      </w:r>
      <w:r>
        <w:br/>
      </w:r>
      <w:r>
        <w:br/>
      </w:r>
      <w:r>
        <w:br/>
      </w:r>
    </w:p>
    <w:p>
      <w:pPr>
        <w:pStyle w:val="null3"/>
        <w:jc w:val="center"/>
        <w:outlineLvl w:val="2"/>
      </w:pPr>
      <w:r>
        <w:rPr>
          <w:rFonts w:ascii="仿宋_GB2312" w:hAnsi="仿宋_GB2312" w:cs="仿宋_GB2312" w:eastAsia="仿宋_GB2312"/>
          <w:sz w:val="28"/>
          <w:b/>
        </w:rPr>
        <w:t>咸阳职业技术学院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咸阳职业技术学院</w:t>
      </w:r>
      <w:r>
        <w:rPr>
          <w:rFonts w:ascii="仿宋_GB2312" w:hAnsi="仿宋_GB2312" w:cs="仿宋_GB2312" w:eastAsia="仿宋_GB2312"/>
        </w:rPr>
        <w:t>委托，拟对</w:t>
      </w:r>
      <w:r>
        <w:rPr>
          <w:rFonts w:ascii="仿宋_GB2312" w:hAnsi="仿宋_GB2312" w:cs="仿宋_GB2312" w:eastAsia="仿宋_GB2312"/>
        </w:rPr>
        <w:t>2026年仪祉图书馆纸质特价图书采购项目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ZMZB2026XYZY--193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2026年仪祉图书馆纸质特价图书采购项目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2026年仪祉图书馆特价纸质图书采购项目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后任意1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5、社会保障资金缴纳证明：提供2025年6月（含6月）以后任意1个月的社会保障资金缴存单据或社保机构开具的社会保险参保缴费情况证明。依法不需要缴纳社会保障资金的供应商应提供相关文件证明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7、法定代表人授权书：非法定代表人参加投标的，须提供法定代表人委托授权书和被授权人身份证，法定代表人参加投标时,只须提供法定代表人身份证</w:t>
      </w:r>
    </w:p>
    <w:p>
      <w:pPr>
        <w:pStyle w:val="null3"/>
      </w:pPr>
      <w:r>
        <w:rPr>
          <w:rFonts w:ascii="仿宋_GB2312" w:hAnsi="仿宋_GB2312" w:cs="仿宋_GB2312" w:eastAsia="仿宋_GB2312"/>
        </w:rPr>
        <w:t>8、资质要求：供应商提供合法有效的出版物经营许可证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后任意1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5、社会保障资金缴纳证明：提供2025年6月（含6月）以后任意1个月的社会保障资金缴存单据或社保机构开具的社会保险参保缴费情况证明。依法不需要缴纳社会保障资金的供应商应提供相关文件证明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7、法定代表人授权书：非法定代表人参加投标的，须提供法定代表人委托授权书和被授权人身份证，法定代表人参加投标时,只须提供法定代表人身份证</w:t>
      </w:r>
    </w:p>
    <w:p>
      <w:pPr>
        <w:pStyle w:val="null3"/>
      </w:pPr>
      <w:r>
        <w:rPr>
          <w:rFonts w:ascii="仿宋_GB2312" w:hAnsi="仿宋_GB2312" w:cs="仿宋_GB2312" w:eastAsia="仿宋_GB2312"/>
        </w:rPr>
        <w:t>8、资质要求：供应商提供合法有效的出版物经营许可证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陕西省西安市西咸新区沣西新城统一大道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029-33680059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魏萌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10万（不含本数）以下，按照定额3000元收取服务费；中标金额10-35万（不含本数），按照定额5000元收取服务费；中标金额35-100万（不含本数），参照国家计委颁布的《招标代理服务收费管理暂行办法》（计价格[2002]1980号）和发改办价格[2003]857号文件等法律法规规定的计价标准收取（含税）；中标金额100万以上，参照国家计委颁布的《招标代理服务收费管理暂行办法》（计价格[2002]1980号）和发改办价格[2003]857号文件等法律法规规定的计价标准下浮20%收取（含税）。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2026年仪祉图书馆特价纸质图书采购项目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2026年仪祉图书馆纸质特价图书采购第一包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2026年仪祉图书馆纸质特价图书采购第二包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标的名称：2026年仪祉图书馆纸质特价图书采购第一包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after="165"/>
              <w:ind w:firstLine="480"/>
              <w:jc w:val="both"/>
            </w:pPr>
            <w:r>
              <w:rPr>
                <w:rFonts w:ascii="仿宋_GB2312" w:hAnsi="仿宋_GB2312" w:cs="仿宋_GB2312" w:eastAsia="仿宋_GB2312"/>
                <w:sz w:val="24"/>
              </w:rPr>
              <w:t>一、图书采购数量：</w:t>
            </w:r>
            <w:r>
              <w:rPr>
                <w:rFonts w:ascii="仿宋_GB2312" w:hAnsi="仿宋_GB2312" w:cs="仿宋_GB2312" w:eastAsia="仿宋_GB2312"/>
                <w:sz w:val="24"/>
              </w:rPr>
              <w:t>采购特价类图书不少于</w:t>
            </w:r>
            <w:r>
              <w:rPr>
                <w:rFonts w:ascii="仿宋_GB2312" w:hAnsi="仿宋_GB2312" w:cs="仿宋_GB2312" w:eastAsia="仿宋_GB2312"/>
                <w:sz w:val="24"/>
              </w:rPr>
              <w:t>40000册。</w:t>
            </w:r>
          </w:p>
          <w:tbl>
            <w:tblPr>
              <w:tblInd w:type="dxa" w:w="210"/>
              <w:tblBorders>
                <w:top w:val="none" w:color="000000" w:sz="4"/>
                <w:left w:val="none" w:color="000000" w:sz="4"/>
                <w:bottom w:val="none" w:color="000000" w:sz="4"/>
                <w:right w:val="none" w:color="000000" w:sz="4"/>
                <w:insideH w:val="none"/>
                <w:insideV w:val="none"/>
              </w:tblBorders>
            </w:tblPr>
            <w:tblGrid>
              <w:gridCol w:w="400"/>
              <w:gridCol w:w="549"/>
              <w:gridCol w:w="1597"/>
            </w:tblGrid>
            <w:tr>
              <w:tc>
                <w:tcPr>
                  <w:tcW w:type="dxa" w:w="400"/>
                  <w:tcBorders>
                    <w:top w:val="single" w:color="333333" w:sz="4"/>
                    <w:left w:val="single" w:color="333333"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包号</w:t>
                  </w:r>
                </w:p>
              </w:tc>
              <w:tc>
                <w:tcPr>
                  <w:tcW w:type="dxa" w:w="549"/>
                  <w:tcBorders>
                    <w:top w:val="single" w:color="333333" w:sz="4"/>
                    <w:left w:val="none" w:color="000000" w:sz="4"/>
                    <w:bottom w:val="single" w:color="000000" w:sz="4"/>
                    <w:right w:val="single" w:color="333333" w:sz="4"/>
                  </w:tcBorders>
                  <w:shd w:fill="FFFFFF"/>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采购数量</w:t>
                  </w:r>
                </w:p>
              </w:tc>
              <w:tc>
                <w:tcPr>
                  <w:tcW w:type="dxa" w:w="1597"/>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其它参数及商务要求</w:t>
                  </w:r>
                </w:p>
              </w:tc>
            </w:tr>
            <w:tr>
              <w:tc>
                <w:tcPr>
                  <w:tcW w:type="dxa" w:w="400"/>
                  <w:tcBorders>
                    <w:top w:val="none" w:color="000000" w:sz="4"/>
                    <w:left w:val="single" w:color="333333" w:sz="4"/>
                    <w:bottom w:val="single" w:color="333333" w:sz="4"/>
                    <w:right w:val="single" w:color="000000" w:sz="4"/>
                  </w:tcBorders>
                  <w:shd w:fill="FFFFFF"/>
                  <w:tcMar>
                    <w:top w:type="dxa" w:w="75"/>
                    <w:left w:type="dxa" w:w="120"/>
                    <w:bottom w:type="dxa" w:w="75"/>
                    <w:right w:type="dxa" w:w="120"/>
                  </w:tcMar>
                  <w:vAlign w:val="top"/>
                </w:tcPr>
                <w:p>
                  <w:pPr>
                    <w:pStyle w:val="null3"/>
                    <w:jc w:val="both"/>
                  </w:pPr>
                  <w:r>
                    <w:rPr>
                      <w:rFonts w:ascii="仿宋_GB2312" w:hAnsi="仿宋_GB2312" w:cs="仿宋_GB2312" w:eastAsia="仿宋_GB2312"/>
                      <w:sz w:val="24"/>
                    </w:rPr>
                    <w:t>合同包</w:t>
                  </w:r>
                  <w:r>
                    <w:rPr>
                      <w:rFonts w:ascii="仿宋_GB2312" w:hAnsi="仿宋_GB2312" w:cs="仿宋_GB2312" w:eastAsia="仿宋_GB2312"/>
                      <w:sz w:val="24"/>
                    </w:rPr>
                    <w:t>1</w:t>
                  </w:r>
                </w:p>
              </w:tc>
              <w:tc>
                <w:tcPr>
                  <w:tcW w:type="dxa" w:w="549"/>
                  <w:tcBorders>
                    <w:top w:val="none" w:color="000000" w:sz="4"/>
                    <w:left w:val="none" w:color="000000" w:sz="4"/>
                    <w:bottom w:val="single" w:color="000000" w:sz="4"/>
                    <w:right w:val="single" w:color="000000" w:sz="4"/>
                  </w:tcBorders>
                  <w:shd w:fill="FFFFFF"/>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40000册</w:t>
                  </w:r>
                </w:p>
              </w:tc>
              <w:tc>
                <w:tcPr>
                  <w:tcW w:type="dxa" w:w="1597"/>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left"/>
                  </w:pPr>
                  <w:r>
                    <w:rPr>
                      <w:rFonts w:ascii="仿宋_GB2312" w:hAnsi="仿宋_GB2312" w:cs="仿宋_GB2312" w:eastAsia="仿宋_GB2312"/>
                      <w:sz w:val="24"/>
                    </w:rPr>
                    <w:t>书目中自然科学类图书种类</w:t>
                  </w:r>
                  <w:r>
                    <w:rPr>
                      <w:rFonts w:ascii="仿宋_GB2312" w:hAnsi="仿宋_GB2312" w:cs="仿宋_GB2312" w:eastAsia="仿宋_GB2312"/>
                      <w:sz w:val="24"/>
                    </w:rPr>
                    <w:t>≥40%；采购图书册数不少于40000册；免费回溯加工图书500册；含上架及耗材费用。</w:t>
                  </w:r>
                </w:p>
              </w:tc>
            </w:tr>
          </w:tbl>
          <w:p>
            <w:pPr>
              <w:pStyle w:val="null3"/>
              <w:spacing w:before="330" w:after="330"/>
              <w:ind w:firstLine="480"/>
              <w:jc w:val="both"/>
            </w:pPr>
            <w:r>
              <w:rPr>
                <w:rFonts w:ascii="仿宋_GB2312" w:hAnsi="仿宋_GB2312" w:cs="仿宋_GB2312" w:eastAsia="仿宋_GB2312"/>
                <w:sz w:val="24"/>
              </w:rPr>
              <w:t>二、技术要求</w:t>
            </w:r>
          </w:p>
          <w:p>
            <w:pPr>
              <w:pStyle w:val="null3"/>
              <w:spacing w:before="165" w:after="165"/>
              <w:ind w:firstLine="480"/>
              <w:jc w:val="both"/>
            </w:pPr>
            <w:r>
              <w:rPr>
                <w:rFonts w:ascii="仿宋_GB2312" w:hAnsi="仿宋_GB2312" w:cs="仿宋_GB2312" w:eastAsia="仿宋_GB2312"/>
                <w:sz w:val="24"/>
              </w:rPr>
              <w:t>1.供应商必须保证提供的图书为国家正规出版社的正版图书，不得加入盗版图书及其它类型非法出版物。服务期内根据采购方专业学科设置，提供护理、医学影像、康复治疗、医药、卫生、机电一体化、机械、电气自动化技术、数控、畜牧兽医、宠物养护与训导、农业科学、园林园艺、电子电器、汽车检测与维修、建筑、化工、会计、物流、电子商务、旅游管理、语言、艺术、教育、管理等专业学科的图书及社会科学、自然科学、文学艺术、综合实用类图书；供应商保证可供选择书目信息完整。</w:t>
            </w:r>
          </w:p>
          <w:p>
            <w:pPr>
              <w:pStyle w:val="null3"/>
              <w:spacing w:before="165" w:after="165"/>
              <w:ind w:firstLine="480"/>
              <w:jc w:val="both"/>
            </w:pPr>
            <w:r>
              <w:rPr>
                <w:rFonts w:ascii="仿宋_GB2312" w:hAnsi="仿宋_GB2312" w:cs="仿宋_GB2312" w:eastAsia="仿宋_GB2312"/>
                <w:sz w:val="24"/>
              </w:rPr>
              <w:t>2.供应商应具有固定的营业场所或可供现采的仓储式现货库房或样本库。</w:t>
            </w:r>
          </w:p>
          <w:p>
            <w:pPr>
              <w:pStyle w:val="null3"/>
              <w:spacing w:before="165" w:after="165"/>
              <w:ind w:firstLine="480"/>
              <w:jc w:val="both"/>
            </w:pPr>
            <w:r>
              <w:rPr>
                <w:rFonts w:ascii="仿宋_GB2312" w:hAnsi="仿宋_GB2312" w:cs="仿宋_GB2312" w:eastAsia="仿宋_GB2312"/>
                <w:sz w:val="24"/>
              </w:rPr>
              <w:t>3.提供备选图书目录不少于60000种，其中理工类图书不少于40%；</w:t>
            </w:r>
          </w:p>
          <w:p>
            <w:pPr>
              <w:pStyle w:val="null3"/>
              <w:spacing w:before="165" w:after="165"/>
              <w:ind w:firstLine="480"/>
              <w:jc w:val="both"/>
            </w:pPr>
            <w:r>
              <w:rPr>
                <w:rFonts w:ascii="仿宋_GB2312" w:hAnsi="仿宋_GB2312" w:cs="仿宋_GB2312" w:eastAsia="仿宋_GB2312"/>
                <w:sz w:val="24"/>
              </w:rPr>
              <w:t>4.采购复本量≤10；</w:t>
            </w:r>
          </w:p>
          <w:p>
            <w:pPr>
              <w:pStyle w:val="null3"/>
              <w:spacing w:before="165" w:after="165"/>
              <w:ind w:firstLine="480"/>
              <w:jc w:val="both"/>
            </w:pPr>
            <w:r>
              <w:rPr>
                <w:rFonts w:ascii="仿宋_GB2312" w:hAnsi="仿宋_GB2312" w:cs="仿宋_GB2312" w:eastAsia="仿宋_GB2312"/>
                <w:sz w:val="24"/>
              </w:rPr>
              <w:t>5.免费提供图书编目、加工、上架工作及加工耗材；</w:t>
            </w:r>
          </w:p>
          <w:p>
            <w:pPr>
              <w:pStyle w:val="null3"/>
              <w:spacing w:before="165" w:after="165"/>
              <w:ind w:firstLine="480"/>
              <w:jc w:val="both"/>
            </w:pPr>
            <w:r>
              <w:rPr>
                <w:rFonts w:ascii="仿宋_GB2312" w:hAnsi="仿宋_GB2312" w:cs="仿宋_GB2312" w:eastAsia="仿宋_GB2312"/>
                <w:sz w:val="24"/>
              </w:rPr>
              <w:t>6.供应商所提供的图书成交价格应包含：采购费用、运费、图书加工费、税费、代理服务费、售后服务费、人工费及图书馆图书的回溯加工及财产账和上架等一切费用，还应包括全程加工服务，图书上架，打印财产帐等配套服务。</w:t>
            </w:r>
          </w:p>
          <w:p>
            <w:pPr>
              <w:pStyle w:val="null3"/>
              <w:spacing w:before="165" w:after="165"/>
              <w:ind w:firstLine="480"/>
              <w:jc w:val="both"/>
            </w:pPr>
            <w:r>
              <w:rPr>
                <w:rFonts w:ascii="仿宋_GB2312" w:hAnsi="仿宋_GB2312" w:cs="仿宋_GB2312" w:eastAsia="仿宋_GB2312"/>
                <w:sz w:val="24"/>
              </w:rPr>
              <w:t>7.保证提供图书质保期为一年，自甲方出具书面验收合格报告之次日起算。服务期三年，服务期自甲方出具书面验收合格报告之次日起算。服务期内，乙方对甲方在流通过程中发现存在图书质量仍应无偿予以退换，产生的运费等所有费用由乙方承担。</w:t>
            </w:r>
          </w:p>
          <w:p>
            <w:pPr>
              <w:pStyle w:val="null3"/>
              <w:ind w:firstLine="482"/>
              <w:jc w:val="both"/>
            </w:pPr>
            <w:r>
              <w:rPr>
                <w:rFonts w:ascii="仿宋_GB2312" w:hAnsi="仿宋_GB2312" w:cs="仿宋_GB2312" w:eastAsia="仿宋_GB2312"/>
                <w:sz w:val="24"/>
                <w:b/>
              </w:rPr>
              <w:t>三、其他要求</w:t>
            </w:r>
          </w:p>
          <w:p>
            <w:pPr>
              <w:pStyle w:val="null3"/>
              <w:ind w:firstLine="480"/>
              <w:jc w:val="both"/>
            </w:pPr>
            <w:r>
              <w:rPr>
                <w:rFonts w:ascii="仿宋_GB2312" w:hAnsi="仿宋_GB2312" w:cs="仿宋_GB2312" w:eastAsia="仿宋_GB2312"/>
                <w:sz w:val="24"/>
              </w:rPr>
              <w:t>1.合同签订后，供应商根据甲方需求及时提供备选书目清单，以备图书馆进行选书，所提供书目重复的，由报价低的供应商负责供货，报价相同的，各供应商平分复本量供货。</w:t>
            </w:r>
          </w:p>
          <w:p>
            <w:pPr>
              <w:pStyle w:val="null3"/>
              <w:ind w:firstLine="480"/>
              <w:jc w:val="both"/>
            </w:pPr>
            <w:r>
              <w:rPr>
                <w:rFonts w:ascii="仿宋_GB2312" w:hAnsi="仿宋_GB2312" w:cs="仿宋_GB2312" w:eastAsia="仿宋_GB2312"/>
                <w:sz w:val="24"/>
              </w:rPr>
              <w:t>2.图书馆根据需求在供应商提供的书目进行选书，供应商提供的书目经过选择后实际金额达到预算金额后，供应商根据订单供货。</w:t>
            </w:r>
          </w:p>
          <w:p>
            <w:pPr>
              <w:pStyle w:val="null3"/>
              <w:ind w:firstLine="480"/>
              <w:jc w:val="both"/>
            </w:pPr>
            <w:r>
              <w:rPr>
                <w:rFonts w:ascii="仿宋_GB2312" w:hAnsi="仿宋_GB2312" w:cs="仿宋_GB2312" w:eastAsia="仿宋_GB2312"/>
                <w:sz w:val="24"/>
              </w:rPr>
              <w:t>3.供应商提供的订单经过选书后，未达到预算金额，供货商必须根据要求继续提供新的备选书目，直到完成预算金额。</w:t>
            </w:r>
          </w:p>
          <w:p>
            <w:pPr>
              <w:pStyle w:val="null3"/>
              <w:ind w:firstLine="480"/>
              <w:jc w:val="both"/>
            </w:pPr>
            <w:r>
              <w:rPr>
                <w:rFonts w:ascii="仿宋_GB2312" w:hAnsi="仿宋_GB2312" w:cs="仿宋_GB2312" w:eastAsia="仿宋_GB2312"/>
                <w:sz w:val="24"/>
              </w:rPr>
              <w:t>4.在配货期内将所有图书送至甲方指定地点，供应商所提供的图书价格是包干价，包括采购费用、运费、税费、代理服务费、售后服务费等一切费用，还应包括全程加工服务（图书加工中涉及到的磁条等材料由供应商提供），图书上架，打印财产账等配套服务。</w:t>
            </w:r>
          </w:p>
          <w:p>
            <w:pPr>
              <w:pStyle w:val="null3"/>
              <w:ind w:firstLine="480"/>
              <w:jc w:val="both"/>
            </w:pPr>
            <w:r>
              <w:rPr>
                <w:rFonts w:ascii="仿宋_GB2312" w:hAnsi="仿宋_GB2312" w:cs="仿宋_GB2312" w:eastAsia="仿宋_GB2312"/>
                <w:sz w:val="24"/>
              </w:rPr>
              <w:t>5.供应商应将所有图书信息导入图书管理系统，在规定的时间完成图书数据加工、上架流通。</w:t>
            </w:r>
          </w:p>
          <w:p>
            <w:pPr>
              <w:pStyle w:val="null3"/>
              <w:ind w:firstLine="480"/>
              <w:jc w:val="both"/>
            </w:pPr>
            <w:r>
              <w:rPr>
                <w:rFonts w:ascii="仿宋_GB2312" w:hAnsi="仿宋_GB2312" w:cs="仿宋_GB2312" w:eastAsia="仿宋_GB2312"/>
                <w:sz w:val="24"/>
              </w:rPr>
              <w:t>6.供应商逾期交货的，每逾期一日，按照未交付图书定价的10%承担违约金，逾期超过5日的，甲方有权解除双方的供货合同，乙方除应向甲方支付订购图书总定价20%的违约金外，还应承担因此给甲方造成的全部损失。</w:t>
            </w:r>
          </w:p>
          <w:p>
            <w:pPr>
              <w:pStyle w:val="null3"/>
              <w:ind w:firstLine="480"/>
              <w:jc w:val="both"/>
            </w:pPr>
            <w:r>
              <w:rPr>
                <w:rFonts w:ascii="仿宋_GB2312" w:hAnsi="仿宋_GB2312" w:cs="仿宋_GB2312" w:eastAsia="仿宋_GB2312"/>
                <w:sz w:val="24"/>
              </w:rPr>
              <w:t>7.供应商向甲方提供的图书不得是盗版或其他一切非法印刷出版物，且享有完全的所有权及知识产权，否则，乙方应当向甲方支付该批图书定价2倍的违约金，并赔偿甲方的全部损失（包括但不限于罚款、赔偿款及甲方因此支付的诉讼费、律师费、公告费、保全费、交通费等全部费用）。</w:t>
            </w:r>
          </w:p>
          <w:p>
            <w:pPr>
              <w:pStyle w:val="null3"/>
              <w:ind w:firstLine="480"/>
              <w:jc w:val="both"/>
            </w:pPr>
            <w:r>
              <w:rPr>
                <w:rFonts w:ascii="仿宋_GB2312" w:hAnsi="仿宋_GB2312" w:cs="仿宋_GB2312" w:eastAsia="仿宋_GB2312"/>
                <w:sz w:val="24"/>
              </w:rPr>
              <w:t>8.供应商应当对有质量问题的图书进行免费补换，如乙方拒绝补换的，甲方有权单方解除合同，拒付乙方一切图书款，同时，乙方应当按照有质量问题图书定价的2倍向甲方支付违约金及因此给甲方造成的全部损失。</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9.图书加工要求：</w:t>
            </w:r>
          </w:p>
          <w:p>
            <w:pPr>
              <w:pStyle w:val="null3"/>
              <w:ind w:firstLine="480"/>
              <w:jc w:val="both"/>
            </w:pPr>
            <w:r>
              <w:rPr>
                <w:rFonts w:ascii="仿宋_GB2312" w:hAnsi="仿宋_GB2312" w:cs="仿宋_GB2312" w:eastAsia="仿宋_GB2312"/>
                <w:sz w:val="24"/>
              </w:rPr>
              <w:t>9.1 盖馆藏章：分别在书名页和书封口两处盖章，书名页的章子盖在出版社上方约1厘米处；书封口即图书的机器切口截面(即与书脊对称的另一面)中心处盖一个。</w:t>
            </w:r>
          </w:p>
          <w:p>
            <w:pPr>
              <w:pStyle w:val="null3"/>
              <w:ind w:firstLine="480"/>
              <w:jc w:val="both"/>
            </w:pPr>
            <w:r>
              <w:rPr>
                <w:rFonts w:ascii="仿宋_GB2312" w:hAnsi="仿宋_GB2312" w:cs="仿宋_GB2312" w:eastAsia="仿宋_GB2312"/>
                <w:sz w:val="24"/>
              </w:rPr>
              <w:t>9.2 贴磁条：全部图书要求贴磁条（300页以上需贴两个），且必须是钴基复合性磁条，不能使磁条露出图书上下切口，也不能轻易被发现且不能影响正常阅读。</w:t>
            </w:r>
          </w:p>
          <w:p>
            <w:pPr>
              <w:pStyle w:val="null3"/>
              <w:ind w:firstLine="480"/>
              <w:jc w:val="both"/>
            </w:pPr>
            <w:r>
              <w:rPr>
                <w:rFonts w:ascii="仿宋_GB2312" w:hAnsi="仿宋_GB2312" w:cs="仿宋_GB2312" w:eastAsia="仿宋_GB2312"/>
                <w:sz w:val="24"/>
              </w:rPr>
              <w:t>9.3 贴条码：两个 PVC 条码（注意：每种书要把我方采购的复本找齐后再加工，保证同一种书的条码号连续；条码要保证清晰易读），两个条码均须覆膜。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1）条码贴在书名页上半部分以不遮盖文字为准，且须在图书第31页文字上方贴与书名页一致的条码号，不到50页或套书除第一册之外的其他册从第一页开始数在第10页上贴条码号。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2）保证条码号的连续性，如本批次购书30000 册，加工的第一册如30000001，那么最后一册的条码号必须为 30030000 （即中间不能让条码号作废或中断）。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3）图书条码起始号，必须以图书馆要求为准。</w:t>
            </w:r>
          </w:p>
          <w:p>
            <w:pPr>
              <w:pStyle w:val="null3"/>
              <w:ind w:firstLine="480"/>
              <w:jc w:val="both"/>
            </w:pPr>
            <w:r>
              <w:rPr>
                <w:rFonts w:ascii="仿宋_GB2312" w:hAnsi="仿宋_GB2312" w:cs="仿宋_GB2312" w:eastAsia="仿宋_GB2312"/>
                <w:sz w:val="24"/>
              </w:rPr>
              <w:t>9.4 贴书标：标签需要贴两个，均需覆膜。第一个标签贴在底边（距离书脊底部 3CM 处），需将标签内容置于书脊正中间。书脊宽度较窄的，即书页数较少的，将书标贴在图书封底右上角（离顶部 1CM，离右侧 1CM 处）。最后需要在书标签上覆 膜，覆膜应完全覆盖标签。第二个标签贴在图书最后一页有文字的页面右上角[书封底的前一页或两页（书封底有 1 页空白页的情况下）]，离顶部 1CM，离右侧 1CM处。</w:t>
            </w:r>
          </w:p>
          <w:p>
            <w:pPr>
              <w:pStyle w:val="null3"/>
              <w:ind w:firstLine="480"/>
              <w:jc w:val="both"/>
            </w:pPr>
            <w:r>
              <w:rPr>
                <w:rFonts w:ascii="仿宋_GB2312" w:hAnsi="仿宋_GB2312" w:cs="仿宋_GB2312" w:eastAsia="仿宋_GB2312"/>
                <w:sz w:val="24"/>
              </w:rPr>
              <w:t>9.5 著录：要求按照标准的 MARC 格式完成分类、标引、著录等各项著录工作。 具体提出以下要求：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1）对 MARC 数据的要求：中文图书著录信息中的 330 字段即提要文摘项必须著录。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2）905 字段，即馆藏项，可著录■a■b两项，其中■a内容应固定为XYZYJS，■b内容按实际情况，如一种书我馆订购三册，从30000001到30000003，那么■b内容为30000001-3。如果205字段有数字的版次则需在905字段的■e后将版次填入英文状态下的括号内，所打出的书标也应含有版次。如果图书是上下册，应在200字段■h著录并在905字段用■v区分卷次号（如上册为 I247.5/100/1，中册为I247.5/100/2，下册则为I247.5/100/3，依次类推）。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3）书中的附件如光盘：需要在光盘上贴光盘条码并覆膜（每张光盘贴一个）和与书相同的书标并覆膜，要求在该书的书名页馆藏章旁边加盖“随书附光盘 张”，并用黑色笔在“盘”字前的空位处填相应数字，字迹要清楚，容易辨认。随书附件应夹在该册书中发货，不可取出，否则无法分辨是哪本书的附件。随书光盘数据加工须用录音及录像著录模板著录，并在所建的电子文献数据库中按要求验到、分编、入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4）CN-MARC 著录手工添写的主要字段如下：</w:t>
            </w:r>
          </w:p>
          <w:p>
            <w:pPr>
              <w:pStyle w:val="null3"/>
              <w:ind w:firstLine="480"/>
              <w:jc w:val="both"/>
            </w:pPr>
            <w:r>
              <w:rPr>
                <w:rFonts w:ascii="仿宋_GB2312" w:hAnsi="仿宋_GB2312" w:cs="仿宋_GB2312" w:eastAsia="仿宋_GB2312"/>
                <w:sz w:val="24"/>
              </w:rPr>
              <w:t>200 字段 $a 正题名$d 并列正题名$e 副题名$f 主要责任者</w:t>
            </w:r>
          </w:p>
          <w:p>
            <w:pPr>
              <w:pStyle w:val="null3"/>
              <w:ind w:firstLine="480"/>
              <w:jc w:val="both"/>
            </w:pPr>
            <w:r>
              <w:rPr>
                <w:rFonts w:ascii="仿宋_GB2312" w:hAnsi="仿宋_GB2312" w:cs="仿宋_GB2312" w:eastAsia="仿宋_GB2312"/>
                <w:sz w:val="24"/>
              </w:rPr>
              <w:t>205 字段 $a 图书版次（如：第二版）</w:t>
            </w:r>
          </w:p>
          <w:p>
            <w:pPr>
              <w:pStyle w:val="null3"/>
              <w:ind w:firstLine="480"/>
              <w:jc w:val="both"/>
            </w:pPr>
            <w:r>
              <w:rPr>
                <w:rFonts w:ascii="仿宋_GB2312" w:hAnsi="仿宋_GB2312" w:cs="仿宋_GB2312" w:eastAsia="仿宋_GB2312"/>
                <w:sz w:val="24"/>
              </w:rPr>
              <w:t>210 字段 $a 出版地$c 出版社$d 出版日期</w:t>
            </w:r>
          </w:p>
          <w:p>
            <w:pPr>
              <w:pStyle w:val="null3"/>
              <w:ind w:firstLine="480"/>
              <w:jc w:val="both"/>
            </w:pPr>
            <w:r>
              <w:rPr>
                <w:rFonts w:ascii="仿宋_GB2312" w:hAnsi="仿宋_GB2312" w:cs="仿宋_GB2312" w:eastAsia="仿宋_GB2312"/>
                <w:sz w:val="24"/>
              </w:rPr>
              <w:t>215 字段 $a 页数或卷册数$c 图及其他细节$d 开本$e 附件</w:t>
            </w:r>
          </w:p>
          <w:p>
            <w:pPr>
              <w:pStyle w:val="null3"/>
              <w:ind w:firstLine="480"/>
              <w:jc w:val="both"/>
            </w:pPr>
            <w:r>
              <w:rPr>
                <w:rFonts w:ascii="仿宋_GB2312" w:hAnsi="仿宋_GB2312" w:cs="仿宋_GB2312" w:eastAsia="仿宋_GB2312"/>
                <w:sz w:val="24"/>
              </w:rPr>
              <w:t>225 字段 $a 丛编项（如：人文教育系列丛书）</w:t>
            </w:r>
          </w:p>
          <w:p>
            <w:pPr>
              <w:pStyle w:val="null3"/>
              <w:ind w:firstLine="480"/>
              <w:jc w:val="both"/>
            </w:pPr>
            <w:r>
              <w:rPr>
                <w:rFonts w:ascii="仿宋_GB2312" w:hAnsi="仿宋_GB2312" w:cs="仿宋_GB2312" w:eastAsia="仿宋_GB2312"/>
                <w:sz w:val="24"/>
              </w:rPr>
              <w:t>300 字段 $a 附注内容（一般性附注，如：高等教育教材）</w:t>
            </w:r>
          </w:p>
          <w:p>
            <w:pPr>
              <w:pStyle w:val="null3"/>
              <w:ind w:firstLine="480"/>
              <w:jc w:val="both"/>
            </w:pPr>
            <w:r>
              <w:rPr>
                <w:rFonts w:ascii="仿宋_GB2312" w:hAnsi="仿宋_GB2312" w:cs="仿宋_GB2312" w:eastAsia="仿宋_GB2312"/>
                <w:sz w:val="24"/>
              </w:rPr>
              <w:t>330 字段 $a 附注内容（提要或文摘）</w:t>
            </w:r>
          </w:p>
          <w:p>
            <w:pPr>
              <w:pStyle w:val="null3"/>
              <w:ind w:firstLine="480"/>
              <w:jc w:val="both"/>
            </w:pPr>
            <w:r>
              <w:rPr>
                <w:rFonts w:ascii="仿宋_GB2312" w:hAnsi="仿宋_GB2312" w:cs="仿宋_GB2312" w:eastAsia="仿宋_GB2312"/>
                <w:sz w:val="24"/>
              </w:rPr>
              <w:t>606 字段 $a 普通主题词</w:t>
            </w:r>
          </w:p>
          <w:p>
            <w:pPr>
              <w:pStyle w:val="null3"/>
              <w:ind w:firstLine="480"/>
              <w:jc w:val="both"/>
            </w:pPr>
            <w:r>
              <w:rPr>
                <w:rFonts w:ascii="仿宋_GB2312" w:hAnsi="仿宋_GB2312" w:cs="仿宋_GB2312" w:eastAsia="仿宋_GB2312"/>
                <w:sz w:val="24"/>
              </w:rPr>
              <w:t>690 字段 $a 中图分类号（依据《中图法》5 版）$v 中图分类版次</w:t>
            </w:r>
          </w:p>
          <w:p>
            <w:pPr>
              <w:pStyle w:val="null3"/>
              <w:ind w:firstLine="480"/>
              <w:jc w:val="both"/>
            </w:pPr>
            <w:r>
              <w:rPr>
                <w:rFonts w:ascii="仿宋_GB2312" w:hAnsi="仿宋_GB2312" w:cs="仿宋_GB2312" w:eastAsia="仿宋_GB2312"/>
                <w:sz w:val="24"/>
              </w:rPr>
              <w:t>701 字段/711 字段 $a 责任者$4 著作方式（如：编、著）</w:t>
            </w:r>
          </w:p>
          <w:p>
            <w:pPr>
              <w:pStyle w:val="null3"/>
              <w:ind w:firstLine="480"/>
              <w:jc w:val="both"/>
            </w:pPr>
            <w:r>
              <w:rPr>
                <w:rFonts w:ascii="仿宋_GB2312" w:hAnsi="仿宋_GB2312" w:cs="仿宋_GB2312" w:eastAsia="仿宋_GB2312"/>
                <w:sz w:val="24"/>
              </w:rPr>
              <w:t>801 字段 $a 国别$bXYZYJS$c 编目日期</w:t>
            </w:r>
          </w:p>
          <w:p>
            <w:pPr>
              <w:pStyle w:val="null3"/>
              <w:ind w:firstLine="480"/>
              <w:jc w:val="both"/>
            </w:pPr>
            <w:r>
              <w:rPr>
                <w:rFonts w:ascii="仿宋_GB2312" w:hAnsi="仿宋_GB2312" w:cs="仿宋_GB2312" w:eastAsia="仿宋_GB2312"/>
                <w:sz w:val="24"/>
              </w:rPr>
              <w:t>905 字段 $a 馆代码$b 登录号 （馆藏代码：XYZYJS）</w:t>
            </w:r>
          </w:p>
          <w:p>
            <w:pPr>
              <w:pStyle w:val="null3"/>
              <w:ind w:firstLine="480"/>
              <w:jc w:val="both"/>
            </w:pPr>
            <w:r>
              <w:rPr>
                <w:rFonts w:ascii="仿宋_GB2312" w:hAnsi="仿宋_GB2312" w:cs="仿宋_GB2312" w:eastAsia="仿宋_GB2312"/>
                <w:sz w:val="24"/>
              </w:rPr>
              <w:t>9.6 按照图书馆细则要求和财产账本样本，打印入库移交明细账和财产明细账，并胶印装订成册。</w:t>
            </w:r>
          </w:p>
          <w:p>
            <w:pPr>
              <w:pStyle w:val="null3"/>
              <w:jc w:val="both"/>
            </w:pPr>
            <w:r>
              <w:rPr>
                <w:rFonts w:ascii="仿宋_GB2312" w:hAnsi="仿宋_GB2312" w:cs="仿宋_GB2312" w:eastAsia="仿宋_GB2312"/>
                <w:sz w:val="24"/>
              </w:rPr>
              <w:t>9.7典藏调度：I类图书入文学库；A-H、K 类的图书入社科库；N-S 类图书入自然科学书库；TM，TN，TP 类图书入工业技术一库；其余T类图书、U-X 类图书入工业技术二库；J、Z 、外文类图书入外文艺术库；工具书和较贵重的精品书入工具书库。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标的名称：2026年仪祉图书馆纸质特价图书采购第二包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after="165"/>
              <w:ind w:firstLine="480"/>
              <w:jc w:val="both"/>
            </w:pPr>
            <w:r>
              <w:rPr>
                <w:rFonts w:ascii="仿宋_GB2312" w:hAnsi="仿宋_GB2312" w:cs="仿宋_GB2312" w:eastAsia="仿宋_GB2312"/>
                <w:sz w:val="24"/>
              </w:rPr>
              <w:t>一、图书采购数量</w:t>
            </w:r>
            <w:r>
              <w:rPr>
                <w:rFonts w:ascii="仿宋_GB2312" w:hAnsi="仿宋_GB2312" w:cs="仿宋_GB2312" w:eastAsia="仿宋_GB2312"/>
                <w:sz w:val="24"/>
              </w:rPr>
              <w:t>：采购特价类图书不少于</w:t>
            </w:r>
            <w:r>
              <w:rPr>
                <w:rFonts w:ascii="仿宋_GB2312" w:hAnsi="仿宋_GB2312" w:cs="仿宋_GB2312" w:eastAsia="仿宋_GB2312"/>
                <w:sz w:val="24"/>
              </w:rPr>
              <w:t>35000册。</w:t>
            </w:r>
          </w:p>
          <w:tbl>
            <w:tblPr>
              <w:tblInd w:type="dxa" w:w="210"/>
              <w:tblBorders>
                <w:top w:val="none" w:color="000000" w:sz="4"/>
                <w:left w:val="none" w:color="000000" w:sz="4"/>
                <w:bottom w:val="none" w:color="000000" w:sz="4"/>
                <w:right w:val="none" w:color="000000" w:sz="4"/>
                <w:insideH w:val="none"/>
                <w:insideV w:val="none"/>
              </w:tblBorders>
            </w:tblPr>
            <w:tblGrid>
              <w:gridCol w:w="385"/>
              <w:gridCol w:w="563"/>
              <w:gridCol w:w="1593"/>
            </w:tblGrid>
            <w:tr>
              <w:tc>
                <w:tcPr>
                  <w:tcW w:type="dxa" w:w="385"/>
                  <w:tcBorders>
                    <w:top w:val="single" w:color="333333" w:sz="4"/>
                    <w:left w:val="single" w:color="333333"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包号</w:t>
                  </w:r>
                </w:p>
              </w:tc>
              <w:tc>
                <w:tcPr>
                  <w:tcW w:type="dxa" w:w="563"/>
                  <w:tcBorders>
                    <w:top w:val="single" w:color="333333" w:sz="4"/>
                    <w:left w:val="none" w:color="000000" w:sz="4"/>
                    <w:bottom w:val="single" w:color="000000" w:sz="4"/>
                    <w:right w:val="single" w:color="333333" w:sz="4"/>
                  </w:tcBorders>
                  <w:shd w:fill="FFFFFF"/>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采购数量</w:t>
                  </w:r>
                </w:p>
              </w:tc>
              <w:tc>
                <w:tcPr>
                  <w:tcW w:type="dxa" w:w="1593"/>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rFonts w:ascii="仿宋_GB2312" w:hAnsi="仿宋_GB2312" w:cs="仿宋_GB2312" w:eastAsia="仿宋_GB2312"/>
                      <w:sz w:val="24"/>
                      <w:b/>
                    </w:rPr>
                    <w:t>其它参数及商务要求</w:t>
                  </w:r>
                </w:p>
              </w:tc>
            </w:tr>
            <w:tr>
              <w:tc>
                <w:tcPr>
                  <w:tcW w:type="dxa" w:w="385"/>
                  <w:tcBorders>
                    <w:top w:val="none" w:color="000000" w:sz="4"/>
                    <w:left w:val="single" w:color="333333" w:sz="4"/>
                    <w:bottom w:val="single" w:color="333333" w:sz="4"/>
                    <w:right w:val="single" w:color="000000" w:sz="4"/>
                  </w:tcBorders>
                  <w:shd w:fill="FFFFFF"/>
                  <w:tcMar>
                    <w:top w:type="dxa" w:w="75"/>
                    <w:left w:type="dxa" w:w="120"/>
                    <w:bottom w:type="dxa" w:w="75"/>
                    <w:right w:type="dxa" w:w="120"/>
                  </w:tcMar>
                  <w:vAlign w:val="top"/>
                </w:tcPr>
                <w:p>
                  <w:pPr>
                    <w:pStyle w:val="null3"/>
                    <w:jc w:val="both"/>
                  </w:pPr>
                  <w:r>
                    <w:rPr>
                      <w:rFonts w:ascii="仿宋_GB2312" w:hAnsi="仿宋_GB2312" w:cs="仿宋_GB2312" w:eastAsia="仿宋_GB2312"/>
                      <w:sz w:val="24"/>
                    </w:rPr>
                    <w:t>合同包</w:t>
                  </w:r>
                  <w:r>
                    <w:rPr>
                      <w:rFonts w:ascii="仿宋_GB2312" w:hAnsi="仿宋_GB2312" w:cs="仿宋_GB2312" w:eastAsia="仿宋_GB2312"/>
                      <w:sz w:val="24"/>
                    </w:rPr>
                    <w:t>2</w:t>
                  </w:r>
                </w:p>
              </w:tc>
              <w:tc>
                <w:tcPr>
                  <w:tcW w:type="dxa" w:w="563"/>
                  <w:tcBorders>
                    <w:top w:val="none" w:color="000000" w:sz="4"/>
                    <w:left w:val="none" w:color="000000" w:sz="4"/>
                    <w:bottom w:val="single" w:color="000000" w:sz="4"/>
                    <w:right w:val="single" w:color="000000" w:sz="4"/>
                  </w:tcBorders>
                  <w:shd w:fill="FFFFFF"/>
                  <w:tcMar>
                    <w:top w:type="dxa" w:w="75"/>
                    <w:left w:type="dxa" w:w="120"/>
                    <w:bottom w:type="dxa" w:w="75"/>
                    <w:right w:type="dxa" w:w="120"/>
                  </w:tcMar>
                  <w:vAlign w:val="top"/>
                </w:tcPr>
                <w:p>
                  <w:pPr>
                    <w:pStyle w:val="null3"/>
                    <w:jc w:val="center"/>
                  </w:pPr>
                  <w:r>
                    <w:rPr>
                      <w:rFonts w:ascii="仿宋_GB2312" w:hAnsi="仿宋_GB2312" w:cs="仿宋_GB2312" w:eastAsia="仿宋_GB2312"/>
                      <w:sz w:val="24"/>
                    </w:rPr>
                    <w:t>35000册</w:t>
                  </w:r>
                </w:p>
              </w:tc>
              <w:tc>
                <w:tcPr>
                  <w:tcW w:type="dxa" w:w="1593"/>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left"/>
                  </w:pPr>
                  <w:r>
                    <w:rPr>
                      <w:rFonts w:ascii="仿宋_GB2312" w:hAnsi="仿宋_GB2312" w:cs="仿宋_GB2312" w:eastAsia="仿宋_GB2312"/>
                      <w:sz w:val="24"/>
                    </w:rPr>
                    <w:t>书目中自然科学类图书种类</w:t>
                  </w:r>
                  <w:r>
                    <w:rPr>
                      <w:rFonts w:ascii="仿宋_GB2312" w:hAnsi="仿宋_GB2312" w:cs="仿宋_GB2312" w:eastAsia="仿宋_GB2312"/>
                      <w:sz w:val="24"/>
                    </w:rPr>
                    <w:t>≥40%；采购图书册数不少于35000册，免费回溯加工图书500册；含上架及耗材费用。</w:t>
                  </w:r>
                </w:p>
              </w:tc>
            </w:tr>
          </w:tbl>
          <w:p>
            <w:pPr>
              <w:pStyle w:val="null3"/>
              <w:spacing w:before="330" w:after="330"/>
              <w:ind w:firstLine="480"/>
              <w:jc w:val="both"/>
            </w:pPr>
            <w:r>
              <w:rPr>
                <w:rFonts w:ascii="仿宋_GB2312" w:hAnsi="仿宋_GB2312" w:cs="仿宋_GB2312" w:eastAsia="仿宋_GB2312"/>
                <w:sz w:val="24"/>
              </w:rPr>
              <w:t>二、技术要求</w:t>
            </w:r>
          </w:p>
          <w:p>
            <w:pPr>
              <w:pStyle w:val="null3"/>
              <w:spacing w:before="165" w:after="165"/>
              <w:ind w:firstLine="480"/>
              <w:jc w:val="both"/>
            </w:pPr>
            <w:r>
              <w:rPr>
                <w:rFonts w:ascii="仿宋_GB2312" w:hAnsi="仿宋_GB2312" w:cs="仿宋_GB2312" w:eastAsia="仿宋_GB2312"/>
                <w:sz w:val="24"/>
              </w:rPr>
              <w:t>1.供应商必须保证提供的图书为国家正规出版社的正版图书，不得加入盗版图书及其它类型非法出版物。服务期内根据采购方专业学科设置，提供护理、医学影像、康复治疗、医药、卫生、机电一体化、机械、电气自动化技术、数控、畜牧兽医、宠物养护与训导、农业科学、园林园艺、电子电器、汽车检测与维修、建筑、化工、会计、物流、电子商务、旅游管理、语言、艺术、教育、管理等专业学科的图书及社会科学、自然科学、文学艺术、综合实用类图书；供应商保证可供选择书目信息完整。</w:t>
            </w:r>
          </w:p>
          <w:p>
            <w:pPr>
              <w:pStyle w:val="null3"/>
              <w:spacing w:before="165" w:after="165"/>
              <w:ind w:firstLine="480"/>
              <w:jc w:val="both"/>
            </w:pPr>
            <w:r>
              <w:rPr>
                <w:rFonts w:ascii="仿宋_GB2312" w:hAnsi="仿宋_GB2312" w:cs="仿宋_GB2312" w:eastAsia="仿宋_GB2312"/>
                <w:sz w:val="24"/>
              </w:rPr>
              <w:t>2.供应商应具有固定的营业场所或可供现采的仓储式现货库房或样本库。</w:t>
            </w:r>
          </w:p>
          <w:p>
            <w:pPr>
              <w:pStyle w:val="null3"/>
              <w:spacing w:before="165" w:after="165"/>
              <w:ind w:firstLine="480"/>
              <w:jc w:val="both"/>
            </w:pPr>
            <w:r>
              <w:rPr>
                <w:rFonts w:ascii="仿宋_GB2312" w:hAnsi="仿宋_GB2312" w:cs="仿宋_GB2312" w:eastAsia="仿宋_GB2312"/>
                <w:sz w:val="24"/>
              </w:rPr>
              <w:t>3.提供备选图书目录不少于60000种，其中理工类图书不少于40%；</w:t>
            </w:r>
          </w:p>
          <w:p>
            <w:pPr>
              <w:pStyle w:val="null3"/>
              <w:spacing w:before="165" w:after="165"/>
              <w:ind w:firstLine="480"/>
              <w:jc w:val="both"/>
            </w:pPr>
            <w:r>
              <w:rPr>
                <w:rFonts w:ascii="仿宋_GB2312" w:hAnsi="仿宋_GB2312" w:cs="仿宋_GB2312" w:eastAsia="仿宋_GB2312"/>
                <w:sz w:val="24"/>
              </w:rPr>
              <w:t>4.采购复本量≤10；</w:t>
            </w:r>
          </w:p>
          <w:p>
            <w:pPr>
              <w:pStyle w:val="null3"/>
              <w:spacing w:before="165" w:after="165"/>
              <w:ind w:firstLine="480"/>
              <w:jc w:val="both"/>
            </w:pPr>
            <w:r>
              <w:rPr>
                <w:rFonts w:ascii="仿宋_GB2312" w:hAnsi="仿宋_GB2312" w:cs="仿宋_GB2312" w:eastAsia="仿宋_GB2312"/>
                <w:sz w:val="24"/>
              </w:rPr>
              <w:t>5.免费提供图书编目、加工、上架工作及加工耗材；</w:t>
            </w:r>
          </w:p>
          <w:p>
            <w:pPr>
              <w:pStyle w:val="null3"/>
              <w:spacing w:before="165" w:after="165"/>
              <w:ind w:firstLine="480"/>
              <w:jc w:val="both"/>
            </w:pPr>
            <w:r>
              <w:rPr>
                <w:rFonts w:ascii="仿宋_GB2312" w:hAnsi="仿宋_GB2312" w:cs="仿宋_GB2312" w:eastAsia="仿宋_GB2312"/>
                <w:sz w:val="24"/>
              </w:rPr>
              <w:t>6.供应商所提供的图书成交价格应包含：采购费用、运费、图书加工费、税费、代理服务费、售后服务费、人工费及图书馆图书的回溯加工及财产账和上架等一切费用，还应包括全程加工服务，图书上架，打印财产帐等配套服务。</w:t>
            </w:r>
          </w:p>
          <w:p>
            <w:pPr>
              <w:pStyle w:val="null3"/>
              <w:spacing w:before="165" w:after="165"/>
              <w:ind w:firstLine="480"/>
              <w:jc w:val="both"/>
            </w:pPr>
            <w:r>
              <w:rPr>
                <w:rFonts w:ascii="仿宋_GB2312" w:hAnsi="仿宋_GB2312" w:cs="仿宋_GB2312" w:eastAsia="仿宋_GB2312"/>
                <w:sz w:val="24"/>
              </w:rPr>
              <w:t>7.保证提供图书质保期为一年，自甲方出具书面验收合格报告之次日起算。服务期三年，服务期自甲方出具书面验收合格报告之次日起算。服务期内，乙方对甲方在流通过程中发现存在图书质量仍应无偿予以退换，产生的运费等所有费用由乙方承担。</w:t>
            </w:r>
          </w:p>
          <w:p>
            <w:pPr>
              <w:pStyle w:val="null3"/>
              <w:ind w:firstLine="482"/>
              <w:jc w:val="both"/>
            </w:pPr>
            <w:r>
              <w:rPr>
                <w:rFonts w:ascii="仿宋_GB2312" w:hAnsi="仿宋_GB2312" w:cs="仿宋_GB2312" w:eastAsia="仿宋_GB2312"/>
                <w:sz w:val="24"/>
                <w:b/>
              </w:rPr>
              <w:t>三、其他要求</w:t>
            </w:r>
          </w:p>
          <w:p>
            <w:pPr>
              <w:pStyle w:val="null3"/>
              <w:ind w:firstLine="480"/>
              <w:jc w:val="both"/>
            </w:pPr>
            <w:r>
              <w:rPr>
                <w:rFonts w:ascii="仿宋_GB2312" w:hAnsi="仿宋_GB2312" w:cs="仿宋_GB2312" w:eastAsia="仿宋_GB2312"/>
                <w:sz w:val="24"/>
              </w:rPr>
              <w:t>1.合同签订后，供应商根据甲方需求及时提供备选书目清单，以备图书馆进行选书，所提供书目重复的，由报价低的供应商负责供货，报价相同的，各供应商平分复本量供货。</w:t>
            </w:r>
          </w:p>
          <w:p>
            <w:pPr>
              <w:pStyle w:val="null3"/>
              <w:ind w:firstLine="480"/>
              <w:jc w:val="both"/>
            </w:pPr>
            <w:r>
              <w:rPr>
                <w:rFonts w:ascii="仿宋_GB2312" w:hAnsi="仿宋_GB2312" w:cs="仿宋_GB2312" w:eastAsia="仿宋_GB2312"/>
                <w:sz w:val="24"/>
              </w:rPr>
              <w:t>2.图书馆根据需求在供应商提供的书目进行选书，供应商提供的书目经过选择后实际金额达到预算金额后，供应商根据订单供货。</w:t>
            </w:r>
          </w:p>
          <w:p>
            <w:pPr>
              <w:pStyle w:val="null3"/>
              <w:ind w:firstLine="480"/>
              <w:jc w:val="both"/>
            </w:pPr>
            <w:r>
              <w:rPr>
                <w:rFonts w:ascii="仿宋_GB2312" w:hAnsi="仿宋_GB2312" w:cs="仿宋_GB2312" w:eastAsia="仿宋_GB2312"/>
                <w:sz w:val="24"/>
              </w:rPr>
              <w:t>3.供应商提供的订单经过选书后，未达到预算金额，供货商必须根据要求继续提供新的备选书目，直到完成预算金额。</w:t>
            </w:r>
          </w:p>
          <w:p>
            <w:pPr>
              <w:pStyle w:val="null3"/>
              <w:ind w:firstLine="480"/>
              <w:jc w:val="both"/>
            </w:pPr>
            <w:r>
              <w:rPr>
                <w:rFonts w:ascii="仿宋_GB2312" w:hAnsi="仿宋_GB2312" w:cs="仿宋_GB2312" w:eastAsia="仿宋_GB2312"/>
                <w:sz w:val="24"/>
              </w:rPr>
              <w:t>4.在配货期内将所有图书送至甲方指定地点，供应商所提供的图书价格是包干价，包括采购费用、运费、税费、代理服务费、售后服务费等一切费用，还应包括全程加工服务（图书加工中涉及到的磁条等材料由供应商提供），图书上架，打印财产账等配套服务。</w:t>
            </w:r>
          </w:p>
          <w:p>
            <w:pPr>
              <w:pStyle w:val="null3"/>
              <w:ind w:firstLine="480"/>
              <w:jc w:val="both"/>
            </w:pPr>
            <w:r>
              <w:rPr>
                <w:rFonts w:ascii="仿宋_GB2312" w:hAnsi="仿宋_GB2312" w:cs="仿宋_GB2312" w:eastAsia="仿宋_GB2312"/>
                <w:sz w:val="24"/>
              </w:rPr>
              <w:t>5.供应商应将所有图书信息导入图书管理系统，在规定的时间完成图书数据加工、上架流通。</w:t>
            </w:r>
          </w:p>
          <w:p>
            <w:pPr>
              <w:pStyle w:val="null3"/>
              <w:ind w:firstLine="480"/>
              <w:jc w:val="both"/>
            </w:pPr>
            <w:r>
              <w:rPr>
                <w:rFonts w:ascii="仿宋_GB2312" w:hAnsi="仿宋_GB2312" w:cs="仿宋_GB2312" w:eastAsia="仿宋_GB2312"/>
                <w:sz w:val="24"/>
              </w:rPr>
              <w:t>6.供应商逾期交货的，每逾期一日，按照未交付图书定价的10%承担违约金，逾期超过5日的，甲方有权解除双方的供货合同，乙方除应向甲方支付订购图书总定价20%的违约金外，还应承担因此给甲方造成的全部损失。</w:t>
            </w:r>
          </w:p>
          <w:p>
            <w:pPr>
              <w:pStyle w:val="null3"/>
              <w:ind w:firstLine="480"/>
              <w:jc w:val="both"/>
            </w:pPr>
            <w:r>
              <w:rPr>
                <w:rFonts w:ascii="仿宋_GB2312" w:hAnsi="仿宋_GB2312" w:cs="仿宋_GB2312" w:eastAsia="仿宋_GB2312"/>
                <w:sz w:val="24"/>
              </w:rPr>
              <w:t>7.供应商向甲方提供的图书不得是盗版或其他一切非法印刷出版物，且享有完全的所有权及知识产权，否则，乙方应当向甲方支付该批图书定价2倍的违约金，并赔偿甲方的全部损失（包括但不限于罚款、赔偿款及甲方因此支付的诉讼费、律师费、公告费、保全费、交通费等全部费用）。</w:t>
            </w:r>
          </w:p>
          <w:p>
            <w:pPr>
              <w:pStyle w:val="null3"/>
              <w:ind w:firstLine="480"/>
              <w:jc w:val="both"/>
            </w:pPr>
            <w:r>
              <w:rPr>
                <w:rFonts w:ascii="仿宋_GB2312" w:hAnsi="仿宋_GB2312" w:cs="仿宋_GB2312" w:eastAsia="仿宋_GB2312"/>
                <w:sz w:val="24"/>
              </w:rPr>
              <w:t>8.供应商应当对有质量问题的图书进行免费补换，如乙方拒绝补换的，甲方有权单方解除合同，拒付乙方一切图书款，同时，乙方应当按照有质量问题图书定价的2倍向甲方支付违约金及因此给甲方造成的全部损失。</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9.图书加工要求：</w:t>
            </w:r>
          </w:p>
          <w:p>
            <w:pPr>
              <w:pStyle w:val="null3"/>
              <w:ind w:firstLine="480"/>
              <w:jc w:val="both"/>
            </w:pPr>
            <w:r>
              <w:rPr>
                <w:rFonts w:ascii="仿宋_GB2312" w:hAnsi="仿宋_GB2312" w:cs="仿宋_GB2312" w:eastAsia="仿宋_GB2312"/>
                <w:sz w:val="24"/>
              </w:rPr>
              <w:t>9.1 盖馆藏章：分别在书名页和书封口两处盖章，书名页的章子盖在出版社上方约1厘米处；书封口即图书的机器切口截面(即与书脊对称的另一面)中心处盖一个。</w:t>
            </w:r>
          </w:p>
          <w:p>
            <w:pPr>
              <w:pStyle w:val="null3"/>
              <w:ind w:firstLine="480"/>
              <w:jc w:val="both"/>
            </w:pPr>
            <w:r>
              <w:rPr>
                <w:rFonts w:ascii="仿宋_GB2312" w:hAnsi="仿宋_GB2312" w:cs="仿宋_GB2312" w:eastAsia="仿宋_GB2312"/>
                <w:sz w:val="24"/>
              </w:rPr>
              <w:t>9.2 贴磁条：全部图书要求贴磁条（300页以上需贴两个），且必须是钴基复合性磁条，不能使磁条露出图书上下切口，也不能轻易被发现且不能影响正常阅读。</w:t>
            </w:r>
          </w:p>
          <w:p>
            <w:pPr>
              <w:pStyle w:val="null3"/>
              <w:ind w:firstLine="480"/>
              <w:jc w:val="both"/>
            </w:pPr>
            <w:r>
              <w:rPr>
                <w:rFonts w:ascii="仿宋_GB2312" w:hAnsi="仿宋_GB2312" w:cs="仿宋_GB2312" w:eastAsia="仿宋_GB2312"/>
                <w:sz w:val="24"/>
              </w:rPr>
              <w:t>9.3 贴条码：两个 PVC 条码（注意：每种书要把我方采购的复本找齐后再加工，保证同一种书的条码号连续；条码要保证清晰易读），两个条码均须覆膜。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1）条码贴在书名页上半部分以不遮盖文字为准，且须在图书第31页文字上方贴与书名页一致的条码号，不到50页或套书除第一册之外的其他册从第一页开始数在第10页上贴条码号。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2）保证条码号的连续性，如本批次购书30000 册，加工的第一册如30000001，那么最后一册的条码号必须为 30030000 （即中间不能让条码号作废或中断）。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3）图书条码起始号，必须以图书馆要求为准。</w:t>
            </w:r>
          </w:p>
          <w:p>
            <w:pPr>
              <w:pStyle w:val="null3"/>
              <w:ind w:firstLine="480"/>
              <w:jc w:val="both"/>
            </w:pPr>
            <w:r>
              <w:rPr>
                <w:rFonts w:ascii="仿宋_GB2312" w:hAnsi="仿宋_GB2312" w:cs="仿宋_GB2312" w:eastAsia="仿宋_GB2312"/>
                <w:sz w:val="24"/>
              </w:rPr>
              <w:t>9.4 贴书标：标签需要贴两个，均需覆膜。第一个标签贴在底边（距离书脊底部 3CM 处），需将标签内容置于书脊正中间。书脊宽度较窄的，即书页数较少的，将书标贴在图书封底右上角（离顶部 1CM，离右侧 1CM 处）。最后需要在书标签上覆 膜，覆膜应完全覆盖标签。第二个标签贴在图书最后一页有文字的页面右上角[书封底的前一页或两页（书封底有 1 页空白页的情况下）]，离顶部 1CM，离右侧 1CM处。</w:t>
            </w:r>
          </w:p>
          <w:p>
            <w:pPr>
              <w:pStyle w:val="null3"/>
              <w:ind w:firstLine="480"/>
              <w:jc w:val="both"/>
            </w:pPr>
            <w:r>
              <w:rPr>
                <w:rFonts w:ascii="仿宋_GB2312" w:hAnsi="仿宋_GB2312" w:cs="仿宋_GB2312" w:eastAsia="仿宋_GB2312"/>
                <w:sz w:val="24"/>
              </w:rPr>
              <w:t>9.5 著录：要求按照标准的 MARC 格式完成分类、标引、著录等各项著录工作。 具体提出以下要求：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1）对 MARC 数据的要求：中文图书著录信息中的 330 字段即提要文摘项必须著录。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2）905 字段，即馆藏项，可著录■a■b两项，其中■a内容应固定为XYZYJS，■b内容按实际情况，如一种书我馆订购三册，从30000001到30000003，那么■b内容为30000001-3。如果205字段有数字的版次则需在905字段的■e后将版次填入英文状态下的括号内，所打出的书标也应含有版次。如果图书是上下册，应在200字段■h著录并在905字段用■v区分卷次号（如上册为 I247.5/100/1，中册为I247.5/100/2，下册则为I247.5/100/3，依次类推）。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3）书中的附件如光盘：需要在光盘上贴光盘条码并覆膜（每张光盘贴一个）和与书相同的书标并覆膜，要求在该书的书名页馆藏章旁边加盖“随书附光盘 张”，并用黑色笔在“盘”字前的空位处填相应数字，字迹要清楚，容易辨认。随书附件应夹在该册书中发货，不可取出，否则无法分辨是哪本书的附件。随书光盘数据加工须用录音及录像著录模板著录，并在所建的电子文献数据库中按要求验到、分编、入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4）CN-MARC 著录手工添写的主要字段如下：</w:t>
            </w:r>
          </w:p>
          <w:p>
            <w:pPr>
              <w:pStyle w:val="null3"/>
              <w:ind w:firstLine="480"/>
              <w:jc w:val="both"/>
            </w:pPr>
            <w:r>
              <w:rPr>
                <w:rFonts w:ascii="仿宋_GB2312" w:hAnsi="仿宋_GB2312" w:cs="仿宋_GB2312" w:eastAsia="仿宋_GB2312"/>
                <w:sz w:val="24"/>
              </w:rPr>
              <w:t>200 字段 $a 正题名$d 并列正题名$e 副题名$f 主要责任者</w:t>
            </w:r>
          </w:p>
          <w:p>
            <w:pPr>
              <w:pStyle w:val="null3"/>
              <w:ind w:firstLine="480"/>
              <w:jc w:val="both"/>
            </w:pPr>
            <w:r>
              <w:rPr>
                <w:rFonts w:ascii="仿宋_GB2312" w:hAnsi="仿宋_GB2312" w:cs="仿宋_GB2312" w:eastAsia="仿宋_GB2312"/>
                <w:sz w:val="24"/>
              </w:rPr>
              <w:t>205 字段 $a 图书版次（如：第二版）</w:t>
            </w:r>
          </w:p>
          <w:p>
            <w:pPr>
              <w:pStyle w:val="null3"/>
              <w:ind w:firstLine="480"/>
              <w:jc w:val="both"/>
            </w:pPr>
            <w:r>
              <w:rPr>
                <w:rFonts w:ascii="仿宋_GB2312" w:hAnsi="仿宋_GB2312" w:cs="仿宋_GB2312" w:eastAsia="仿宋_GB2312"/>
                <w:sz w:val="24"/>
              </w:rPr>
              <w:t>210 字段 $a 出版地$c 出版社$d 出版日期</w:t>
            </w:r>
          </w:p>
          <w:p>
            <w:pPr>
              <w:pStyle w:val="null3"/>
              <w:ind w:firstLine="480"/>
              <w:jc w:val="both"/>
            </w:pPr>
            <w:r>
              <w:rPr>
                <w:rFonts w:ascii="仿宋_GB2312" w:hAnsi="仿宋_GB2312" w:cs="仿宋_GB2312" w:eastAsia="仿宋_GB2312"/>
                <w:sz w:val="24"/>
              </w:rPr>
              <w:t>215 字段 $a 页数或卷册数$c 图及其他细节$d 开本$e 附件</w:t>
            </w:r>
          </w:p>
          <w:p>
            <w:pPr>
              <w:pStyle w:val="null3"/>
              <w:ind w:firstLine="480"/>
              <w:jc w:val="both"/>
            </w:pPr>
            <w:r>
              <w:rPr>
                <w:rFonts w:ascii="仿宋_GB2312" w:hAnsi="仿宋_GB2312" w:cs="仿宋_GB2312" w:eastAsia="仿宋_GB2312"/>
                <w:sz w:val="24"/>
              </w:rPr>
              <w:t>225 字段 $a 丛编项（如：人文教育系列丛书）</w:t>
            </w:r>
          </w:p>
          <w:p>
            <w:pPr>
              <w:pStyle w:val="null3"/>
              <w:ind w:firstLine="480"/>
              <w:jc w:val="both"/>
            </w:pPr>
            <w:r>
              <w:rPr>
                <w:rFonts w:ascii="仿宋_GB2312" w:hAnsi="仿宋_GB2312" w:cs="仿宋_GB2312" w:eastAsia="仿宋_GB2312"/>
                <w:sz w:val="24"/>
              </w:rPr>
              <w:t>300 字段 $a 附注内容（一般性附注，如：高等教育教材）</w:t>
            </w:r>
          </w:p>
          <w:p>
            <w:pPr>
              <w:pStyle w:val="null3"/>
              <w:ind w:firstLine="480"/>
              <w:jc w:val="both"/>
            </w:pPr>
            <w:r>
              <w:rPr>
                <w:rFonts w:ascii="仿宋_GB2312" w:hAnsi="仿宋_GB2312" w:cs="仿宋_GB2312" w:eastAsia="仿宋_GB2312"/>
                <w:sz w:val="24"/>
              </w:rPr>
              <w:t>330 字段 $a 附注内容（提要或文摘）</w:t>
            </w:r>
          </w:p>
          <w:p>
            <w:pPr>
              <w:pStyle w:val="null3"/>
              <w:ind w:firstLine="480"/>
              <w:jc w:val="both"/>
            </w:pPr>
            <w:r>
              <w:rPr>
                <w:rFonts w:ascii="仿宋_GB2312" w:hAnsi="仿宋_GB2312" w:cs="仿宋_GB2312" w:eastAsia="仿宋_GB2312"/>
                <w:sz w:val="24"/>
              </w:rPr>
              <w:t>606 字段 $a 普通主题词</w:t>
            </w:r>
          </w:p>
          <w:p>
            <w:pPr>
              <w:pStyle w:val="null3"/>
              <w:ind w:firstLine="480"/>
              <w:jc w:val="both"/>
            </w:pPr>
            <w:r>
              <w:rPr>
                <w:rFonts w:ascii="仿宋_GB2312" w:hAnsi="仿宋_GB2312" w:cs="仿宋_GB2312" w:eastAsia="仿宋_GB2312"/>
                <w:sz w:val="24"/>
              </w:rPr>
              <w:t>690 字段 $a 中图分类号（依据《中图法》5 版）$v 中图分类版次</w:t>
            </w:r>
          </w:p>
          <w:p>
            <w:pPr>
              <w:pStyle w:val="null3"/>
              <w:ind w:firstLine="480"/>
              <w:jc w:val="both"/>
            </w:pPr>
            <w:r>
              <w:rPr>
                <w:rFonts w:ascii="仿宋_GB2312" w:hAnsi="仿宋_GB2312" w:cs="仿宋_GB2312" w:eastAsia="仿宋_GB2312"/>
                <w:sz w:val="24"/>
              </w:rPr>
              <w:t>701 字段/711 字段 $a 责任者$4 著作方式（如：编、著）</w:t>
            </w:r>
          </w:p>
          <w:p>
            <w:pPr>
              <w:pStyle w:val="null3"/>
              <w:ind w:firstLine="480"/>
              <w:jc w:val="both"/>
            </w:pPr>
            <w:r>
              <w:rPr>
                <w:rFonts w:ascii="仿宋_GB2312" w:hAnsi="仿宋_GB2312" w:cs="仿宋_GB2312" w:eastAsia="仿宋_GB2312"/>
                <w:sz w:val="24"/>
              </w:rPr>
              <w:t>801 字段 $a 国别$bXYZYJS$c 编目日期</w:t>
            </w:r>
          </w:p>
          <w:p>
            <w:pPr>
              <w:pStyle w:val="null3"/>
              <w:ind w:firstLine="480"/>
              <w:jc w:val="both"/>
            </w:pPr>
            <w:r>
              <w:rPr>
                <w:rFonts w:ascii="仿宋_GB2312" w:hAnsi="仿宋_GB2312" w:cs="仿宋_GB2312" w:eastAsia="仿宋_GB2312"/>
                <w:sz w:val="24"/>
              </w:rPr>
              <w:t>905 字段 $a 馆代码$b 登录号 （馆藏代码：XYZYJS）</w:t>
            </w:r>
          </w:p>
          <w:p>
            <w:pPr>
              <w:pStyle w:val="null3"/>
              <w:ind w:firstLine="480"/>
              <w:jc w:val="both"/>
            </w:pPr>
            <w:r>
              <w:rPr>
                <w:rFonts w:ascii="仿宋_GB2312" w:hAnsi="仿宋_GB2312" w:cs="仿宋_GB2312" w:eastAsia="仿宋_GB2312"/>
                <w:sz w:val="24"/>
              </w:rPr>
              <w:t>9.6 按照图书馆细则要求和财产账本样本，打印入库移交明细账和财产明细账，并胶印装订成册。</w:t>
            </w:r>
          </w:p>
          <w:p>
            <w:pPr>
              <w:pStyle w:val="null3"/>
              <w:jc w:val="both"/>
            </w:pPr>
            <w:r>
              <w:rPr>
                <w:rFonts w:ascii="仿宋_GB2312" w:hAnsi="仿宋_GB2312" w:cs="仿宋_GB2312" w:eastAsia="仿宋_GB2312"/>
                <w:sz w:val="24"/>
              </w:rPr>
              <w:t>9.7典藏调度：I类图书入文学库；A-H、K 类的图书入社科库；N-S 类图书入自然科学书库；TM，TN，TP 类图书入工业技术一库；其余T类图书、U-X 类图书入工业技术二库；J、Z 、外文类图书入外文艺术库；工具书和较贵重的精品书入工具书库。</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在合同签订5个工作日内提供选书目录，在收到图书馆配书清单后20个自然日内完成配书并送到图书馆指定地点；现采图书10个自然日内送书到采购方指定地点；到书率100%；并在60个工作日内完成图书加工上架，达到正常上架流通，完成图书采购册数不低于各包的采购目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在合同签订5个工作日内提供选书目录，在收到图书馆配书清单后20个自然日内完成配书并送到图书馆指定地点；现采图书10个自然日内送书到采购方指定地点；到书率100%；并在60个工作日内完成图书加工上架，达到正常上架流通，完成图书采购册数不低于各包的采购目标。</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咸阳职业技术学院指定地点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最终验收合格后，供应商于10个工作日内提供全额发票及供货/服务清单。采购方收到后全额发票及供货/服务清单10个工作日内予以结算付款；付款方式为银行转账，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最终验收合格后，供应商于10个工作日内提供全额发票及供货/服务清单。采购方收到后全额发票及供货/服务清单10个工作日内予以结算付款；付款方式为银行转账，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图书上架部署完成后，乙方安排专人会同甲方一起对图书进行编目信息、流通上架进行初验，初验过程中发现图书信息缺失或错误等情况由乙方在甲方要求的期限内及时进行维护，维护完成后应再次向甲方申请初验，直至通过。 2.对订购的图书品种、数量、质量进行核对无误后，乙方按照甲方要求打印固定资产财产账清单。 3. 项目实施完成后，经甲方使用单位同乙方共同初验确认后无误，乙方向甲方提出书面验收申请，同时提供验收资料（一正两副），由甲方在10个工作日内按照合同约定的采购内容及技术参数组织专家进行项目验收，乙方应予以配合，验收结果以书面验收通知书为准。 4.经甲方验收不合格的，乙方必须在接到甲方通知后7天内根据专家验收意见予以整改，同时专家费用由乙方承担。整改完成后乙方向甲方提出进行二次验收。 5. 验收依据 (1)合同文本； (2)国家有关的验收标准及规范； (3)公开招标采购文件； (4)响应文件； (5)甲方根据项目需要要求乙方提供的相关文件。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图书上架部署完成后，乙方安排专人会同甲方一起对图书进行编目信息、流通上架进行初验，初验过程中发现图书信息缺失或错误等情况由乙方在甲方要求的期限内及时进行维护，维护完成后应再次向甲方申请初验，直至通过。 2.对订购的图书品种、数量、质量进行核对无误后，乙方按照甲方要求打印固定资产财产账清单。 3. 项目实施完成后，经甲方使用单位同乙方共同初验确认后无误，乙方向甲方提出书面验收申请，同时提供验收资料（一正两副），由甲方在10个工作日内按照合同约定的采购内容及技术参数组织专家进行项目验收，乙方应予以配合，验收结果以书面验收通知书为准。 4.经甲方验收不合格的，乙方必须在接到甲方通知后7天内根据专家验收意见予以整改，同时专家费用由乙方承担。整改完成后乙方向甲方提出进行二次验收。 5. 验收依据 (1)合同文本； (2)国家有关的验收标准及规范； (3)公开招标采购文件； (4)响应文件； (5)甲方根据项目需要要求乙方提供的相关文件。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证提供图书质保期为一年，自甲方出具书面验收合格报告之次日起算。服务期三年，服务期自甲方出具书面验收合格报告之次日起算。服务期内，乙方对甲方在流通过程中发现存在图书质量仍应无偿予以退换，产生的运费等所有费用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证提供图书质保期为一年，自甲方出具书面验收合格报告之次日起算。服务期三年，服务期自甲方出具书面验收合格报告之次日起算。服务期内，乙方对甲方在流通过程中发现存在图书质量仍应无偿予以退换，产生的运费等所有费用由乙方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按合同包号报名及领取招标文件,可参与多个包投标,但最终最多只能中标一个包。评标委员会按照合同包1、合同包2依次开展评审工作。投标人若在前一个包评审中得分第一，其后各包只参与打分，不参加排序。 2.中标供应商应在中标结果发布后2日内提供与电子化交易平台上传一致的纸质投标文件2份。 3.本项目落实的政府采购政策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提供2025年6月（含6月）以后任意1个月的依法缴纳税收的相关凭据（时间以税款所属时期为准），凭据应有税务机关或代收机关的公章或业务专用章。依法免税或无须缴纳税收的供应商，应提供相应证明文件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提供2025年6月（含6月）以后任意1个月的社会保障资金缴存单据或社保机构开具的社会保险参保缴费情况证明。依法不需要缴纳社会保障资金的供应商应提供相关文件证明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提供2025年6月（含6月）以后任意1个月的依法缴纳税收的相关凭据（时间以税款所属时期为准），凭据应有税务机关或代收机关的公章或业务专用章。依法免税或无须缴纳税收的供应商，应提供相应证明文件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提供2025年6月（含6月）以后任意1个月的社会保障资金缴存单据或社保机构开具的社会保险参保缴费情况证明。依法不需要缴纳社会保障资金的供应商应提供相关文件证明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投标最低采购数量</w:t>
            </w:r>
          </w:p>
        </w:tc>
        <w:tc>
          <w:tcPr>
            <w:tcW w:type="dxa" w:w="3322"/>
          </w:tcPr>
          <w:p>
            <w:pPr>
              <w:pStyle w:val="null3"/>
            </w:pPr>
            <w:r>
              <w:rPr>
                <w:rFonts w:ascii="仿宋_GB2312" w:hAnsi="仿宋_GB2312" w:cs="仿宋_GB2312" w:eastAsia="仿宋_GB2312"/>
              </w:rPr>
              <w:t>投标最低采购数量低于招标文件中要求的采购数量 不合格 投标最低采购数量未低于招标文件中要求的采购数量 合格</w:t>
            </w:r>
          </w:p>
        </w:tc>
        <w:tc>
          <w:tcPr>
            <w:tcW w:type="dxa" w:w="1661"/>
          </w:tcPr>
          <w:p>
            <w:pPr>
              <w:pStyle w:val="null3"/>
            </w:pPr>
            <w:r>
              <w:rPr>
                <w:rFonts w:ascii="仿宋_GB2312" w:hAnsi="仿宋_GB2312" w:cs="仿宋_GB2312" w:eastAsia="仿宋_GB2312"/>
              </w:rPr>
              <w:t>标的清单 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投标文件的交货期、质保期满足招标文件要求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标的清单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投标最低采购数量</w:t>
            </w:r>
          </w:p>
        </w:tc>
        <w:tc>
          <w:tcPr>
            <w:tcW w:type="dxa" w:w="3322"/>
          </w:tcPr>
          <w:p>
            <w:pPr>
              <w:pStyle w:val="null3"/>
            </w:pPr>
            <w:r>
              <w:rPr>
                <w:rFonts w:ascii="仿宋_GB2312" w:hAnsi="仿宋_GB2312" w:cs="仿宋_GB2312" w:eastAsia="仿宋_GB2312"/>
              </w:rPr>
              <w:t>投标最低采购数量低于招标文件中要求的采购数量 不合格 投标最低采购数量未低于招标文件中要求的采购数量 合格</w:t>
            </w:r>
          </w:p>
        </w:tc>
        <w:tc>
          <w:tcPr>
            <w:tcW w:type="dxa" w:w="1661"/>
          </w:tcPr>
          <w:p>
            <w:pPr>
              <w:pStyle w:val="null3"/>
            </w:pPr>
            <w:r>
              <w:rPr>
                <w:rFonts w:ascii="仿宋_GB2312" w:hAnsi="仿宋_GB2312" w:cs="仿宋_GB2312" w:eastAsia="仿宋_GB2312"/>
              </w:rPr>
              <w:t>标的清单 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投标文件的交货期、质保期满足招标文件要求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标的清单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技术规格：投标内容完整，符合采购需求，无缺项漏项，技术指标全部满足或者优于招标要求得27分。参数每负偏离一项扣1分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供货率</w:t>
            </w:r>
          </w:p>
        </w:tc>
        <w:tc>
          <w:tcPr>
            <w:tcW w:type="dxa" w:w="2492"/>
          </w:tcPr>
          <w:p>
            <w:pPr>
              <w:pStyle w:val="null3"/>
            </w:pPr>
            <w:r>
              <w:rPr>
                <w:rFonts w:ascii="仿宋_GB2312" w:hAnsi="仿宋_GB2312" w:cs="仿宋_GB2312" w:eastAsia="仿宋_GB2312"/>
              </w:rPr>
              <w:t>针对本项目最低采购数量需求，满足100%采购数量基数得3分，每超最低采购数量基数1%得1分，不足1个百分点不予计算。满分8分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供货率.docx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到馆编目数据、馆加工服务，为所订图书提供盖章、贴磁条、贴条码及贴塑膜等图书加工及根据排架规则进行图书上架服务，并接受图书馆质量监督；②编目数据需符合CALIS联合编目标准，所有图书根据中图分类法（五版）及馆藏规则进行图书分类编目数据加工。方案制定内容齐全，各类措施健全，完全满足采购需求并符合本项目实施特点得3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3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本项目配备人员具有国家图书馆（全国图书馆联合编目中心）颁发的图书编目员上岗（资质）证书的，每提供1份得1分，最高得4分。 备注：提供证书复印件，网上查询截图及查询网址，本人近3个月在本公司缴纳社保的相关证明材料，否则该项不得分。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编目人员.docx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提供2023年1月1日至今（以合同签订时间为准）的类似业绩，以业绩合同复印件为依据，每提供一个得1分，最高得6分。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价格分统一采用低价优先法计算，即满足采购文件要求且投标价格最低的综合折扣率为评标基准价，其价格分为满分。其他供应商的价格分统一按照下列公式计算： 价格分=(评标基准价／综合折扣率)×35 注：实洋=码洋×综合折扣率。计算分数时四舍五入取小数点后两位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技术规格：投标内容完整，符合采购需求，无缺项漏项，技术指标全部满足或者优于招标要求得27分。参数每负偏离一项扣1分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供货率</w:t>
            </w:r>
          </w:p>
        </w:tc>
        <w:tc>
          <w:tcPr>
            <w:tcW w:type="dxa" w:w="2492"/>
          </w:tcPr>
          <w:p>
            <w:pPr>
              <w:pStyle w:val="null3"/>
            </w:pPr>
            <w:r>
              <w:rPr>
                <w:rFonts w:ascii="仿宋_GB2312" w:hAnsi="仿宋_GB2312" w:cs="仿宋_GB2312" w:eastAsia="仿宋_GB2312"/>
              </w:rPr>
              <w:t>针对本项目最低采购数量需求，满足100%采购数量基数得3分，每超最低采购数量基数1%得1分，不足1个百分点不予计算。满分8分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供货率.docx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到馆编目数据、馆加工服务，为所订图书提供盖章、贴磁条、贴条码及贴塑膜等图书加工及根据排架规则进行图书上架服务，并接受图书馆质量监督；②编目数据需符合CALIS联合编目标准，所有图书根据中图分类法（五版）及馆藏规则进行图书分类编目数据加工。方案制定内容齐全，各类措施健全，完全满足采购需求并符合本项目实施特点得3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3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编目人员</w:t>
            </w:r>
          </w:p>
        </w:tc>
        <w:tc>
          <w:tcPr>
            <w:tcW w:type="dxa" w:w="2492"/>
          </w:tcPr>
          <w:p>
            <w:pPr>
              <w:pStyle w:val="null3"/>
            </w:pPr>
            <w:r>
              <w:rPr>
                <w:rFonts w:ascii="仿宋_GB2312" w:hAnsi="仿宋_GB2312" w:cs="仿宋_GB2312" w:eastAsia="仿宋_GB2312"/>
              </w:rPr>
              <w:t>本项目配备人员具有国家图书馆（全国图书馆联合编目中心）颁发的图书编目员上岗（资质）证书的，每提供1份得1分，最高得4分。 备注：提供证书复印件，网上查询截图及查询网址，本人近3个月在本公司缴纳社保的相关证明材料，否则该项不得分。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编目人员.docx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提供2023年1月1日至今（以合同签订时间为准）的类似业绩，以业绩合同复印件为依据，每提供一个得1分，最高得6分。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价格分统一采用低价优先法计算，即满足采购文件要求且投标价格最低的综合折扣率为评标基准价，其价格分为满分。其他供应商的价格分统一按照下列公式计算： 价格分=(评标基准价／综合折扣率)×35 注：实洋=码洋×综合折扣率。计算分数时四舍五入取小数点后两位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详见附件：供货率.docx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详见附件：编目人员.docx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详见附件：供货率.docx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详见附件：编目人员.docx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