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FDA1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及其他资料</w:t>
      </w:r>
    </w:p>
    <w:p w14:paraId="5BD7C11A">
      <w:pPr>
        <w:numPr>
          <w:ilvl w:val="0"/>
          <w:numId w:val="1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2、依据竞争性磋商文件要求，供应商认为有必要说明的其他内容。</w:t>
      </w:r>
    </w:p>
    <w:p w14:paraId="68F95FB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</w:p>
    <w:p w14:paraId="48DEB179">
      <w:bookmarkStart w:id="0" w:name="_GoBack"/>
      <w:bookmarkEnd w:id="0"/>
    </w:p>
    <w:p w14:paraId="0D6069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D6CF"/>
    <w:multiLevelType w:val="singleLevel"/>
    <w:tmpl w:val="C34CD6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710C2"/>
    <w:rsid w:val="2437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2026-05-09T06:06:00Z</dcterms:created>
  <dc:creator>四方衡裕</dc:creator>
  <cp:lastModifiedBy>四方衡裕</cp:lastModifiedBy>
  <dcterms:modified xsi:type="dcterms:W3CDTF">2026-05-09T06:06:37Z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22BB31FFED904F65B6596311B05B4FBD_11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