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版本号：ZQX-ZC2026091120260916002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西岔河镇彭家沟村二组移民小区前农田灾后恢复项目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ZQX-ZC20260911</w:t>
      </w:r>
      <w:r>
        <w:br/>
      </w:r>
      <w:r>
        <w:br/>
      </w:r>
      <w:r>
        <w:br/>
      </w:r>
    </w:p>
    <w:p>
      <w:pPr>
        <w:pStyle w:val="null3"/>
        <w:jc w:val="center"/>
        <w:outlineLvl w:val="2"/>
      </w:pPr>
      <w:r>
        <w:rPr>
          <w:rFonts w:ascii="仿宋_GB2312" w:hAnsi="仿宋_GB2312" w:cs="仿宋_GB2312" w:eastAsia="仿宋_GB2312"/>
          <w:sz w:val="28"/>
          <w:b/>
        </w:rPr>
        <w:t>佛坪县西岔河镇人民政府</w:t>
      </w:r>
    </w:p>
    <w:p>
      <w:pPr>
        <w:pStyle w:val="null3"/>
        <w:jc w:val="center"/>
        <w:outlineLvl w:val="2"/>
      </w:pPr>
      <w:r>
        <w:rPr>
          <w:rFonts w:ascii="仿宋_GB2312" w:hAnsi="仿宋_GB2312" w:cs="仿宋_GB2312" w:eastAsia="仿宋_GB2312"/>
          <w:sz w:val="28"/>
          <w:b/>
        </w:rPr>
        <w:t>中启信项目咨询有限公司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中启信项目咨询有限公司</w:t>
      </w:r>
      <w:r>
        <w:rPr>
          <w:rFonts w:ascii="仿宋_GB2312" w:hAnsi="仿宋_GB2312" w:cs="仿宋_GB2312" w:eastAsia="仿宋_GB2312"/>
        </w:rPr>
        <w:t>（以下简称“代理机构”）受</w:t>
      </w:r>
      <w:r>
        <w:rPr>
          <w:rFonts w:ascii="仿宋_GB2312" w:hAnsi="仿宋_GB2312" w:cs="仿宋_GB2312" w:eastAsia="仿宋_GB2312"/>
        </w:rPr>
        <w:t>佛坪县西岔河镇人民政府</w:t>
      </w:r>
      <w:r>
        <w:rPr>
          <w:rFonts w:ascii="仿宋_GB2312" w:hAnsi="仿宋_GB2312" w:cs="仿宋_GB2312" w:eastAsia="仿宋_GB2312"/>
        </w:rPr>
        <w:t>委托，拟对</w:t>
      </w:r>
      <w:r>
        <w:rPr>
          <w:rFonts w:ascii="仿宋_GB2312" w:hAnsi="仿宋_GB2312" w:cs="仿宋_GB2312" w:eastAsia="仿宋_GB2312"/>
        </w:rPr>
        <w:t>西岔河镇彭家沟村二组移民小区前农田灾后恢复项目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ZQX-ZC20260911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西岔河镇彭家沟村二组移民小区前农田灾后恢复项目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彭家沟村二组移民小区前恢复农田80余亩，修建浆砌护坎(1.基础混凝土：长80米，高3米，厚2米，共计480立方米；2.浆砌石坎：长80米，宽1.5米，高12米，共计1440立方米；3.路面硬化长80米，宽3米，厚0.2米，共计48立方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采购包1（西岔河镇彭家沟村二组移民小区前农田灾后恢复项目）：属于专门面向中小企业采购。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w:t>
      </w:r>
    </w:p>
    <w:p>
      <w:pPr>
        <w:pStyle w:val="null3"/>
      </w:pPr>
      <w:r>
        <w:rPr>
          <w:rFonts w:ascii="仿宋_GB2312" w:hAnsi="仿宋_GB2312" w:cs="仿宋_GB2312" w:eastAsia="仿宋_GB2312"/>
        </w:rPr>
        <w:t>3、供应商资质及拟派项目负责人资格：供应商须具有建设行政主管部门颁发的水利水电工程施工总承包三级及以上资质，具有有效的安全生产许可证；拟派项目经理须具有水利水电工程专业注册建造师二级及以上资格和安全生产考核合格B证，且无在建项目；</w:t>
      </w:r>
    </w:p>
    <w:p>
      <w:pPr>
        <w:pStyle w:val="null3"/>
      </w:pPr>
      <w:r>
        <w:rPr>
          <w:rFonts w:ascii="仿宋_GB2312" w:hAnsi="仿宋_GB2312" w:cs="仿宋_GB2312" w:eastAsia="仿宋_GB2312"/>
        </w:rPr>
        <w:t>4、资格承诺函：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p>
      <w:pPr>
        <w:pStyle w:val="null3"/>
      </w:pPr>
      <w:r>
        <w:rPr>
          <w:rFonts w:ascii="仿宋_GB2312" w:hAnsi="仿宋_GB2312" w:cs="仿宋_GB2312" w:eastAsia="仿宋_GB2312"/>
        </w:rPr>
        <w:t>5、非联合体投标：本项目不接受联合体投标，单位负责人为同一人或者存在直接控股、管理关系的不同单位，不得同时参加本项目投标。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佛坪县西岔河镇人民政府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佛坪县西岔河镇三教殿村二组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佛坪县西岔河镇人民政府经办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13892655115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中启信项目咨询有限公司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陕西省西安市雁塔区陕西省西安市雁塔区南二环西段88号老三届世纪星大厦15E</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13389282762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采购包1：1,985,079.30元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开户名称：中启信项目咨询有限公司</w:t>
            </w:r>
          </w:p>
          <w:p>
            <w:pPr>
              <w:pStyle w:val="null3"/>
            </w:pPr>
            <w:r>
              <w:rPr>
                <w:rFonts w:ascii="仿宋_GB2312" w:hAnsi="仿宋_GB2312" w:cs="仿宋_GB2312" w:eastAsia="仿宋_GB2312"/>
              </w:rPr>
              <w:t>开户银行：中国建设银行股份有限公司西安兴庆路支行</w:t>
            </w:r>
          </w:p>
          <w:p>
            <w:pPr>
              <w:pStyle w:val="null3"/>
            </w:pPr>
            <w:r>
              <w:rPr>
                <w:rFonts w:ascii="仿宋_GB2312" w:hAnsi="仿宋_GB2312" w:cs="仿宋_GB2312" w:eastAsia="仿宋_GB2312"/>
              </w:rPr>
              <w:t>银行账号：6105 0173 0012 0000 2516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标代理服务收费管理暂行办法的通知》(计价格【2002】1980号)和国家发改委办公厅国发的《关于招标代理服务收费有关问题的通知》(发改办价格【2003】857号)文件规定的收费标准收取，中标/成交供应商在领取中标通知书前，须向采购代理机构一次性支付招标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佛坪县西岔河镇人民政府</w:t>
      </w:r>
      <w:r>
        <w:rPr>
          <w:rFonts w:ascii="仿宋_GB2312" w:hAnsi="仿宋_GB2312" w:cs="仿宋_GB2312" w:eastAsia="仿宋_GB2312"/>
        </w:rPr>
        <w:t>和</w:t>
      </w:r>
      <w:r>
        <w:rPr>
          <w:rFonts w:ascii="仿宋_GB2312" w:hAnsi="仿宋_GB2312" w:cs="仿宋_GB2312" w:eastAsia="仿宋_GB2312"/>
        </w:rPr>
        <w:t>中启信项目咨询有限公司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佛坪县西岔河镇人民政府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中启信项目咨询有限公司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佛坪县西岔河镇人民政府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中启信项目咨询有限公司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2）供应商将在采购项目实施过程中采用自有或者第三方知识成果的，采购项目涉及采购标的的知识产权相关事宜由采购人结合项目实际自主确认或协商约定，具体如下： 本项目全部施工资料、技术资料、图纸资料、方案文件、竣工资料、验收资料、过程成果及项目全部衍生知识成果、著作权、知识产权，均归采购人永久独家所有。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符合国家现⾏⼯程建设标准及项⽬需求清单</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中启信项目咨询有限公司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中启信项目咨询有限公司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中启信项目咨询有限公司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联系人：张玮</w:t>
      </w:r>
    </w:p>
    <w:p>
      <w:pPr>
        <w:pStyle w:val="null3"/>
      </w:pPr>
      <w:r>
        <w:rPr>
          <w:rFonts w:ascii="仿宋_GB2312" w:hAnsi="仿宋_GB2312" w:cs="仿宋_GB2312" w:eastAsia="仿宋_GB2312"/>
        </w:rPr>
        <w:t>联系电话：13389282762</w:t>
      </w:r>
    </w:p>
    <w:p>
      <w:pPr>
        <w:pStyle w:val="null3"/>
      </w:pPr>
      <w:r>
        <w:rPr>
          <w:rFonts w:ascii="仿宋_GB2312" w:hAnsi="仿宋_GB2312" w:cs="仿宋_GB2312" w:eastAsia="仿宋_GB2312"/>
        </w:rPr>
        <w:t>地址：陕西省西安市雁塔区南二环路西段88号老三届世纪星大度15E</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1,985,079.30</w:t>
      </w:r>
    </w:p>
    <w:p>
      <w:pPr>
        <w:pStyle w:val="null3"/>
      </w:pPr>
      <w:r>
        <w:rPr>
          <w:rFonts w:ascii="仿宋_GB2312" w:hAnsi="仿宋_GB2312" w:cs="仿宋_GB2312" w:eastAsia="仿宋_GB2312"/>
        </w:rPr>
        <w:t>采购包最高限价（元）: 1,985,079.30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西岔河镇彭家沟村二组移民小区前农田灾后恢复项目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1,985,079.30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标的名称：西岔河镇彭家沟村二组移民小区前农田灾后恢复项目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both"/>
            </w:pPr>
            <w:r>
              <w:rPr>
                <w:rFonts w:ascii="仿宋_GB2312" w:hAnsi="仿宋_GB2312" w:cs="仿宋_GB2312" w:eastAsia="仿宋_GB2312"/>
                <w:sz w:val="24"/>
                <w:b/>
                <w:color w:val="000000"/>
              </w:rPr>
              <w:t>一、工程概况</w:t>
            </w:r>
          </w:p>
          <w:p>
            <w:pPr>
              <w:pStyle w:val="null3"/>
              <w:spacing w:before="105" w:after="105"/>
              <w:ind w:firstLine="480"/>
              <w:jc w:val="both"/>
            </w:pPr>
            <w:r>
              <w:rPr>
                <w:rFonts w:ascii="仿宋_GB2312" w:hAnsi="仿宋_GB2312" w:cs="仿宋_GB2312" w:eastAsia="仿宋_GB2312"/>
                <w:sz w:val="24"/>
                <w:color w:val="000000"/>
              </w:rPr>
              <w:t>西岔河镇彭家沟村二组移民小区前农田灾后恢复项目，主要工程内容包括：恢复农田</w:t>
            </w:r>
            <w:r>
              <w:rPr>
                <w:rFonts w:ascii="仿宋_GB2312" w:hAnsi="仿宋_GB2312" w:cs="仿宋_GB2312" w:eastAsia="仿宋_GB2312"/>
                <w:sz w:val="24"/>
                <w:color w:val="000000"/>
              </w:rPr>
              <w:t>80余亩，修建浆砌护坎(1.基础混凝土：长80米，高3米，厚2米，共计480立方米；2.浆砌石坎：长80米，宽1.5米，高12米，共计1440立方米；3.路面硬化长80米，宽3米，厚0.2米，共计48立方米)。</w:t>
            </w:r>
          </w:p>
          <w:p>
            <w:pPr>
              <w:pStyle w:val="null3"/>
              <w:spacing w:before="105" w:after="105"/>
              <w:jc w:val="both"/>
            </w:pPr>
            <w:r>
              <w:rPr>
                <w:rFonts w:ascii="仿宋_GB2312" w:hAnsi="仿宋_GB2312" w:cs="仿宋_GB2312" w:eastAsia="仿宋_GB2312"/>
                <w:sz w:val="24"/>
                <w:b/>
                <w:color w:val="000000"/>
              </w:rPr>
              <w:t>二、编制范围</w:t>
            </w:r>
          </w:p>
          <w:p>
            <w:pPr>
              <w:pStyle w:val="null3"/>
              <w:spacing w:before="105" w:after="105"/>
              <w:ind w:firstLine="560"/>
              <w:jc w:val="both"/>
            </w:pPr>
            <w:r>
              <w:rPr>
                <w:rFonts w:ascii="仿宋_GB2312" w:hAnsi="仿宋_GB2312" w:cs="仿宋_GB2312" w:eastAsia="仿宋_GB2312"/>
                <w:sz w:val="24"/>
                <w:color w:val="000000"/>
              </w:rPr>
              <w:t>西岔河镇彭家沟村二组移民小区前农田灾后恢复项目施工图纸及概算内的所有工作内容。</w:t>
            </w:r>
          </w:p>
          <w:p>
            <w:pPr>
              <w:pStyle w:val="null3"/>
              <w:spacing w:before="105" w:after="105"/>
              <w:jc w:val="both"/>
            </w:pPr>
            <w:r>
              <w:rPr>
                <w:rFonts w:ascii="仿宋_GB2312" w:hAnsi="仿宋_GB2312" w:cs="仿宋_GB2312" w:eastAsia="仿宋_GB2312"/>
                <w:sz w:val="24"/>
                <w:b/>
                <w:color w:val="000000"/>
              </w:rPr>
              <w:t>三、编制依据</w:t>
            </w:r>
          </w:p>
          <w:p>
            <w:pPr>
              <w:pStyle w:val="null3"/>
              <w:spacing w:before="105" w:after="105"/>
              <w:ind w:firstLine="560"/>
              <w:jc w:val="both"/>
            </w:pPr>
            <w:r>
              <w:rPr>
                <w:rFonts w:ascii="仿宋_GB2312" w:hAnsi="仿宋_GB2312" w:cs="仿宋_GB2312" w:eastAsia="仿宋_GB2312"/>
                <w:sz w:val="24"/>
                <w:color w:val="000000"/>
              </w:rPr>
              <w:t>1.《陕西省水利工程预算定额(2024年修正)》、《陕西省水利建筑工程概算定额》、《陕西省水利设备安装工程概算定额》、《陕西省水利建筑工程预算定额》、《陕西省水利设备安装工程预算定额》和《陕西省水利工程施工机械台班费定额》。</w:t>
            </w:r>
          </w:p>
          <w:p>
            <w:pPr>
              <w:pStyle w:val="null3"/>
              <w:spacing w:before="105" w:after="105"/>
              <w:ind w:firstLine="560"/>
              <w:jc w:val="both"/>
            </w:pPr>
            <w:r>
              <w:rPr>
                <w:rFonts w:ascii="仿宋_GB2312" w:hAnsi="仿宋_GB2312" w:cs="仿宋_GB2312" w:eastAsia="仿宋_GB2312"/>
                <w:sz w:val="24"/>
                <w:color w:val="000000"/>
              </w:rPr>
              <w:t>2.税金执行办财务函〔2019〕448号水利部办公厅关于调整水利工程计价依据增值税计算标准的通知。</w:t>
            </w:r>
          </w:p>
          <w:p>
            <w:pPr>
              <w:pStyle w:val="null3"/>
              <w:spacing w:before="105" w:after="105"/>
              <w:ind w:firstLine="560"/>
              <w:jc w:val="both"/>
            </w:pPr>
            <w:r>
              <w:rPr>
                <w:rFonts w:ascii="仿宋_GB2312" w:hAnsi="仿宋_GB2312" w:cs="仿宋_GB2312" w:eastAsia="仿宋_GB2312"/>
                <w:sz w:val="24"/>
                <w:color w:val="000000"/>
              </w:rPr>
              <w:t>3.工程性质为增值税9%其他工程一改扩建项目(5000万元以下)，其他直接费、间接费、利润按陕发改项目〔2017〕1606号文规定计取。</w:t>
            </w:r>
          </w:p>
          <w:p>
            <w:pPr>
              <w:pStyle w:val="null3"/>
              <w:spacing w:before="105" w:after="105"/>
              <w:ind w:firstLine="560"/>
              <w:jc w:val="both"/>
            </w:pPr>
            <w:r>
              <w:rPr>
                <w:rFonts w:ascii="仿宋_GB2312" w:hAnsi="仿宋_GB2312" w:cs="仿宋_GB2312" w:eastAsia="仿宋_GB2312"/>
                <w:sz w:val="24"/>
                <w:color w:val="000000"/>
              </w:rPr>
              <w:t>4.项目初步设计批复；初步设计报告、概算等相关资料；</w:t>
            </w:r>
          </w:p>
          <w:p>
            <w:pPr>
              <w:pStyle w:val="null3"/>
              <w:spacing w:before="105" w:after="105"/>
              <w:jc w:val="both"/>
            </w:pPr>
            <w:r>
              <w:rPr>
                <w:rFonts w:ascii="仿宋_GB2312" w:hAnsi="仿宋_GB2312" w:cs="仿宋_GB2312" w:eastAsia="仿宋_GB2312"/>
                <w:sz w:val="24"/>
                <w:b/>
                <w:color w:val="000000"/>
              </w:rPr>
              <w:t>四、其他项目费用及材料价格说明</w:t>
            </w:r>
          </w:p>
          <w:p>
            <w:pPr>
              <w:pStyle w:val="null3"/>
              <w:spacing w:before="105" w:after="105"/>
              <w:ind w:firstLine="560"/>
              <w:jc w:val="both"/>
            </w:pPr>
            <w:r>
              <w:rPr>
                <w:rFonts w:ascii="仿宋_GB2312" w:hAnsi="仿宋_GB2312" w:cs="仿宋_GB2312" w:eastAsia="仿宋_GB2312"/>
                <w:sz w:val="24"/>
                <w:color w:val="000000"/>
              </w:rPr>
              <w:t>1.施工安全生产专项工程费按建筑工程费×1.02的2.5%计入；</w:t>
            </w:r>
          </w:p>
          <w:p>
            <w:pPr>
              <w:pStyle w:val="null3"/>
              <w:spacing w:before="105" w:after="105"/>
              <w:ind w:firstLine="560"/>
              <w:jc w:val="both"/>
            </w:pPr>
            <w:r>
              <w:rPr>
                <w:rFonts w:ascii="仿宋_GB2312" w:hAnsi="仿宋_GB2312" w:cs="仿宋_GB2312" w:eastAsia="仿宋_GB2312"/>
                <w:sz w:val="24"/>
                <w:color w:val="000000"/>
              </w:rPr>
              <w:t>2.其他临时工程按建筑工程费的2%计入；</w:t>
            </w:r>
          </w:p>
          <w:p>
            <w:pPr>
              <w:pStyle w:val="null3"/>
              <w:spacing w:before="105" w:after="105"/>
              <w:ind w:firstLine="560"/>
              <w:jc w:val="both"/>
            </w:pPr>
            <w:r>
              <w:rPr>
                <w:rFonts w:ascii="仿宋_GB2312" w:hAnsi="仿宋_GB2312" w:cs="仿宋_GB2312" w:eastAsia="仿宋_GB2312"/>
                <w:sz w:val="24"/>
                <w:color w:val="000000"/>
              </w:rPr>
              <w:t>3.工程保险费按建筑工程费＋施工临时工程费的0.45%计入；</w:t>
            </w:r>
          </w:p>
          <w:p>
            <w:pPr>
              <w:pStyle w:val="null3"/>
              <w:spacing w:before="105" w:after="105"/>
              <w:jc w:val="both"/>
            </w:pP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、工期：</w:t>
            </w:r>
            <w:r>
              <w:rPr>
                <w:rFonts w:ascii="仿宋_GB2312" w:hAnsi="仿宋_GB2312" w:cs="仿宋_GB2312" w:eastAsia="仿宋_GB2312"/>
                <w:sz w:val="24"/>
                <w:color w:val="000000"/>
              </w:rPr>
              <w:t>90</w:t>
            </w:r>
            <w:r>
              <w:rPr>
                <w:rFonts w:ascii="仿宋_GB2312" w:hAnsi="仿宋_GB2312" w:cs="仿宋_GB2312" w:eastAsia="仿宋_GB2312"/>
                <w:sz w:val="24"/>
                <w:color w:val="000000"/>
              </w:rPr>
              <w:t>日历天</w:t>
            </w:r>
          </w:p>
          <w:p>
            <w:pPr>
              <w:pStyle w:val="null3"/>
              <w:spacing w:before="105" w:after="105"/>
              <w:jc w:val="both"/>
            </w:pPr>
            <w:r>
              <w:rPr>
                <w:rFonts w:ascii="仿宋_GB2312" w:hAnsi="仿宋_GB2312" w:cs="仿宋_GB2312" w:eastAsia="仿宋_GB2312"/>
                <w:sz w:val="24"/>
                <w:b/>
                <w:color w:val="000000"/>
              </w:rPr>
              <w:t>六</w:t>
            </w:r>
            <w:r>
              <w:rPr>
                <w:rFonts w:ascii="仿宋_GB2312" w:hAnsi="仿宋_GB2312" w:cs="仿宋_GB2312" w:eastAsia="仿宋_GB2312"/>
                <w:sz w:val="24"/>
                <w:b/>
                <w:color w:val="000000"/>
              </w:rPr>
              <w:t>、工程质量：</w:t>
            </w:r>
            <w:r>
              <w:rPr>
                <w:rFonts w:ascii="仿宋_GB2312" w:hAnsi="仿宋_GB2312" w:cs="仿宋_GB2312" w:eastAsia="仿宋_GB2312"/>
                <w:sz w:val="24"/>
                <w:color w:val="000000"/>
              </w:rPr>
              <w:t>工程施工质量达到国家验收合格标准</w:t>
            </w:r>
          </w:p>
          <w:p>
            <w:pPr>
              <w:pStyle w:val="null3"/>
              <w:spacing w:before="105" w:after="105"/>
              <w:jc w:val="both"/>
            </w:pPr>
            <w:r>
              <w:rPr>
                <w:rFonts w:ascii="仿宋_GB2312" w:hAnsi="仿宋_GB2312" w:cs="仿宋_GB2312" w:eastAsia="仿宋_GB2312"/>
                <w:sz w:val="24"/>
                <w:b/>
                <w:color w:val="000000"/>
              </w:rPr>
              <w:t>七、质保期：</w:t>
            </w:r>
            <w:r>
              <w:rPr>
                <w:rFonts w:ascii="仿宋_GB2312" w:hAnsi="仿宋_GB2312" w:cs="仿宋_GB2312" w:eastAsia="仿宋_GB2312"/>
                <w:sz w:val="24"/>
                <w:color w:val="000000"/>
              </w:rPr>
              <w:t>1年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符合国家现⾏有关施⼯质量验收规范“合格”要求。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供应商资质及拟派项目负责人资格</w:t>
            </w:r>
          </w:p>
        </w:tc>
        <w:tc>
          <w:tcPr>
            <w:tcW w:type="dxa" w:w="3322"/>
          </w:tcPr>
          <w:p>
            <w:pPr>
              <w:pStyle w:val="null3"/>
            </w:pPr>
            <w:r>
              <w:rPr>
                <w:rFonts w:ascii="仿宋_GB2312" w:hAnsi="仿宋_GB2312" w:cs="仿宋_GB2312" w:eastAsia="仿宋_GB2312"/>
              </w:rPr>
              <w:t>供应商须具有建设行政主管部门颁发的水利水电工程施工总承包三级及以上资质，具有有效的安全生产许可证；拟派项目经理须具有水利水电工程专业注册建造师二级及以上资格和安全生产考核合格B证，且无在建项目；</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已标价工程量清单 供应商应提交的相关资格证明材料.docx 项目管理机构组成表 中小企业声明函 报价函 技术服务合同条款及其他商务要求应答表 标的清单 供应商类似项目业绩一览表 响应函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完全响应竞争性磋商文件要求的各项技术（服务）条款、商务实质性条款。</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供应商针对本项目编制施工总体方案：包括但不限于：①施工方法（工艺）；②施工组织和施工程序；③现场平面布置；④技术组织措施。满分10分。每有一项缺项扣2.5分；每有一处内容存在缺陷，扣 0.5分，扣完为止。备注：缺陷是指内容不合理、虽有内容但不完善、内容表述前后不一致、套用其他项目方案或与项目需求不匹配及其他不利于项目实施的等任意一种情形。未提供不得分。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供应商针对本项目编制完善的质量保证措施，内容包含但不限于：①施工质量的检验制度；②确保质量的技术组织措施；③施工质量控制措施。满分6分。每有一项缺项扣2分；每有一处内容存在缺陷，扣 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供应商应针对本项目编制施工组织计划：包括但不限于①施工进度计划及保障措施、②交叉作业的协调方案、③工期保证措施； 满分 6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安全生产方案</w:t>
            </w:r>
          </w:p>
        </w:tc>
        <w:tc>
          <w:tcPr>
            <w:tcW w:type="dxa" w:w="2492"/>
          </w:tcPr>
          <w:p>
            <w:pPr>
              <w:pStyle w:val="null3"/>
            </w:pPr>
            <w:r>
              <w:rPr>
                <w:rFonts w:ascii="仿宋_GB2312" w:hAnsi="仿宋_GB2312" w:cs="仿宋_GB2312" w:eastAsia="仿宋_GB2312"/>
              </w:rPr>
              <w:t>供应商应针对本项目编制安全生产方案：包括但不限于①安全生产管理制度；②配置安全组织机构；③安全隐患排查、整改制度；④应急保障预案等。 满分8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文明施工及环境保护组织措施</w:t>
            </w:r>
          </w:p>
        </w:tc>
        <w:tc>
          <w:tcPr>
            <w:tcW w:type="dxa" w:w="2492"/>
          </w:tcPr>
          <w:p>
            <w:pPr>
              <w:pStyle w:val="null3"/>
            </w:pPr>
            <w:r>
              <w:rPr>
                <w:rFonts w:ascii="仿宋_GB2312" w:hAnsi="仿宋_GB2312" w:cs="仿宋_GB2312" w:eastAsia="仿宋_GB2312"/>
              </w:rPr>
              <w:t>供应商应针对本项目编制文明施工及环境保护组织措施：包括但不限于①文明及环境保护管理制度；②防尘降噪、治污减霾措施；③节能减排措施； ④文明及环境保护施工监督检查机制等。 满分 4 分。每有一项缺项扣 1 分；每有一处内容存在缺陷，扣 0.5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供应商针对本项目编制完善的资源配置计划，内容包含但不限于：①劳动力资源配置计划；②施工机械设备投入计划；③主要施工材料供应计划。 满分 6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工程质保承诺</w:t>
            </w:r>
          </w:p>
        </w:tc>
        <w:tc>
          <w:tcPr>
            <w:tcW w:type="dxa" w:w="2492"/>
          </w:tcPr>
          <w:p>
            <w:pPr>
              <w:pStyle w:val="null3"/>
            </w:pPr>
            <w:r>
              <w:rPr>
                <w:rFonts w:ascii="仿宋_GB2312" w:hAnsi="仿宋_GB2312" w:cs="仿宋_GB2312" w:eastAsia="仿宋_GB2312"/>
              </w:rPr>
              <w:t>供应商应编制适用于本项目的工程质量保证承诺书，内容应包含①保修范围；②保修期限；③质量保修责任；④售后响应时间。评分标准：承诺内容包含以上全部内容得8分，以上内容每有一项缺失扣2分。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项目部管理人员配置</w:t>
            </w:r>
          </w:p>
        </w:tc>
        <w:tc>
          <w:tcPr>
            <w:tcW w:type="dxa" w:w="2492"/>
          </w:tcPr>
          <w:p>
            <w:pPr>
              <w:pStyle w:val="null3"/>
            </w:pPr>
            <w:r>
              <w:rPr>
                <w:rFonts w:ascii="仿宋_GB2312" w:hAnsi="仿宋_GB2312" w:cs="仿宋_GB2312" w:eastAsia="仿宋_GB2312"/>
              </w:rPr>
              <w:t>1.拟派的项⽬经理具有工程类中级及以上技术职，称得3分；2.项目技术负责人具有工程类中级及以上技术职称，得3分；2.项目所配备的施工员、质量员、安全员、材料员、资料员具有相关岗位证书（或职业资格），全部满足得10分，每缺少一人或相应人员无证书证件扣2分，扣完为止。（供应商应提供相关人员证书证件复印件作为佐证材料，且上述人员必须为供应商员工，提供社保证明或其他能证明劳动关系的证明材料）</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供应商提供 2023年1月1日起（以竣工验收时间为准）至本项目递交截止时间止类似工程业绩，每有1项得3 分，最多得6 分。 评审依据：提供中标通知书、协议书（合同）扫描件或加盖公章的复印件，否则不作为加分项。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满足磋商文件要求且磋商响应最低的报价（最后的响应报价）为评审基准价，其价格分为满分。其他磋商供应商的价格分统一按照下列公式计算：磋商报价得分=（评标基准价/评标价）×30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