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36A83">
      <w:pPr>
        <w:ind w:firstLine="560" w:firstLineChars="200"/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学院现有空调设备总量较大，涵盖校本部和高新校区共计3404台，类型以分体空调和中央空调风机盘管为主。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需委托专业的空调维保公司对学院空调进行维修保养，并修复现存问题（现存问题为：凝结水管脱落问题及墙体排水管道脱落）。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9B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2026-10-19T02:44:16Z</dcterms:created>
  <dc:creator>Lenovo</dc:creator>
  <cp:lastModifiedBy>。。</cp:lastModifiedBy>
  <dcterms:modified xsi:type="dcterms:W3CDTF">2026-10-19T02:44:59Z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eyJoZGlkIjoiOTJmM2Y3YjgzNWU3ZDc3NGZmYWVkNzQyNTc3YTk1YjQiLCJ1c2VySWQiOiIzNzAzNTU5MDQifQ==</vt:lpwstr>
  </property>
  <property fmtid="{D5CDD505-2E9C-101B-9397-08002B2CF9AE}" pid="4" name="ICV">
    <vt:lpwstr>CE2C80B7DB284FEB9E2E05463516318D_12</vt:lpwstr>
  </property>
</Properties>
</file>