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AF09">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color w:val="000000"/>
          <w:sz w:val="28"/>
          <w:szCs w:val="28"/>
          <w:highlight w:val="none"/>
          <w:lang w:val="zh-CN" w:bidi="ar"/>
        </w:rPr>
      </w:pPr>
      <w:r>
        <w:rPr>
          <w:rFonts w:hint="eastAsia" w:ascii="宋体" w:hAnsi="宋体" w:eastAsia="宋体" w:cs="宋体"/>
          <w:b/>
          <w:color w:val="000000"/>
          <w:sz w:val="28"/>
          <w:szCs w:val="28"/>
          <w:highlight w:val="none"/>
          <w:lang w:val="zh-CN" w:bidi="ar"/>
        </w:rPr>
        <w:t>采购供货合同</w:t>
      </w:r>
    </w:p>
    <w:p w14:paraId="1E473D3F">
      <w:pPr>
        <w:ind w:firstLine="480"/>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Hans"/>
        </w:rPr>
        <w:t xml:space="preserve">甲方(**学校)：                                   </w:t>
      </w:r>
    </w:p>
    <w:p w14:paraId="6AD97229">
      <w:pPr>
        <w:ind w:firstLine="480"/>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Hans"/>
        </w:rPr>
        <w:fldChar w:fldCharType="begin"/>
      </w:r>
      <w:r>
        <w:rPr>
          <w:rFonts w:hint="eastAsia" w:ascii="仿宋_GB2312" w:hAnsi="仿宋_GB2312" w:eastAsia="仿宋_GB2312" w:cs="仿宋_GB2312"/>
          <w:highlight w:val="none"/>
          <w:lang w:val="en-US" w:eastAsia="zh-Hans"/>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highlight w:val="none"/>
          <w:lang w:val="en-US" w:eastAsia="zh-Hans"/>
        </w:rPr>
        <w:fldChar w:fldCharType="separate"/>
      </w:r>
      <w:r>
        <w:rPr>
          <w:rFonts w:hint="eastAsia" w:ascii="仿宋_GB2312" w:hAnsi="仿宋_GB2312" w:eastAsia="仿宋_GB2312" w:cs="仿宋_GB2312"/>
          <w:highlight w:val="none"/>
          <w:lang w:val="en-US" w:eastAsia="zh-Hans"/>
        </w:rPr>
        <w:t>乙方</w:t>
      </w:r>
      <w:r>
        <w:rPr>
          <w:rFonts w:hint="eastAsia" w:ascii="仿宋_GB2312" w:hAnsi="仿宋_GB2312" w:eastAsia="仿宋_GB2312" w:cs="仿宋_GB2312"/>
          <w:highlight w:val="none"/>
          <w:lang w:val="en-US" w:eastAsia="zh-Hans"/>
        </w:rPr>
        <w:fldChar w:fldCharType="end"/>
      </w:r>
      <w:r>
        <w:rPr>
          <w:rFonts w:hint="eastAsia" w:ascii="仿宋_GB2312" w:hAnsi="仿宋_GB2312" w:eastAsia="仿宋_GB2312" w:cs="仿宋_GB2312"/>
          <w:highlight w:val="none"/>
          <w:lang w:val="en-US" w:eastAsia="zh-Hans"/>
        </w:rPr>
        <w:t>(</w:t>
      </w:r>
      <w:r>
        <w:rPr>
          <w:rFonts w:hint="eastAsia" w:ascii="仿宋_GB2312" w:hAnsi="仿宋_GB2312" w:eastAsia="仿宋_GB2312" w:cs="仿宋_GB2312"/>
          <w:highlight w:val="none"/>
          <w:lang w:val="en-US" w:eastAsia="zh-CN"/>
        </w:rPr>
        <w:t>中标人</w:t>
      </w:r>
      <w:r>
        <w:rPr>
          <w:rFonts w:hint="eastAsia" w:ascii="仿宋_GB2312" w:hAnsi="仿宋_GB2312" w:eastAsia="仿宋_GB2312" w:cs="仿宋_GB2312"/>
          <w:highlight w:val="none"/>
          <w:lang w:val="en-US" w:eastAsia="zh-Hans"/>
        </w:rPr>
        <w:t xml:space="preserve">)：                                   </w:t>
      </w:r>
    </w:p>
    <w:p w14:paraId="28CD3AB2">
      <w:pPr>
        <w:ind w:firstLine="480"/>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Hans"/>
        </w:rPr>
        <w:t>甲乙双方根据</w:t>
      </w: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Hans"/>
        </w:rPr>
        <w:t>年</w:t>
      </w: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Hans"/>
        </w:rPr>
        <w:t>月</w:t>
      </w: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Hans"/>
        </w:rPr>
        <w:t>日</w:t>
      </w:r>
      <w:r>
        <w:rPr>
          <w:rFonts w:hint="eastAsia" w:ascii="仿宋_GB2312" w:hAnsi="仿宋_GB2312" w:eastAsia="仿宋_GB2312" w:cs="仿宋_GB2312"/>
          <w:highlight w:val="none"/>
          <w:lang w:val="en-US" w:eastAsia="zh-CN"/>
        </w:rPr>
        <w:t>就</w:t>
      </w:r>
      <w:r>
        <w:rPr>
          <w:rFonts w:hint="eastAsia" w:ascii="仿宋_GB2312" w:hAnsi="仿宋_GB2312" w:eastAsia="仿宋_GB2312" w:cs="仿宋_GB2312"/>
          <w:highlight w:val="none"/>
          <w:u w:val="single"/>
          <w:lang w:val="en-US" w:eastAsia="zh-CN"/>
        </w:rPr>
        <w:t>西安浐灞国际港辖区公办学2026-2027学年大宗食材(肉蛋)采购项目(第一批)</w:t>
      </w:r>
      <w:r>
        <w:rPr>
          <w:rFonts w:hint="eastAsia" w:ascii="仿宋_GB2312" w:hAnsi="仿宋_GB2312" w:eastAsia="仿宋_GB2312" w:cs="仿宋_GB2312"/>
          <w:highlight w:val="none"/>
          <w:lang w:val="en-US" w:eastAsia="zh-Hans"/>
        </w:rPr>
        <w:t>（项目编号：</w:t>
      </w:r>
      <w:r>
        <w:rPr>
          <w:rFonts w:hint="eastAsia" w:ascii="仿宋_GB2312" w:hAnsi="仿宋_GB2312" w:eastAsia="仿宋_GB2312" w:cs="仿宋_GB2312"/>
          <w:highlight w:val="none"/>
          <w:u w:val="single"/>
          <w:lang w:val="en-US" w:eastAsia="zh-Hans"/>
        </w:rPr>
        <w:t xml:space="preserve">         </w:t>
      </w: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u w:val="single"/>
          <w:lang w:val="en-US" w:eastAsia="zh-Hans"/>
        </w:rPr>
        <w:t xml:space="preserve">   </w:t>
      </w:r>
      <w:r>
        <w:rPr>
          <w:rFonts w:hint="eastAsia" w:ascii="仿宋_GB2312" w:hAnsi="仿宋_GB2312" w:eastAsia="仿宋_GB2312" w:cs="仿宋_GB2312"/>
          <w:highlight w:val="none"/>
          <w:u w:val="none"/>
          <w:lang w:val="en-US" w:eastAsia="zh-CN"/>
        </w:rPr>
        <w:t>包号：</w:t>
      </w: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Hans"/>
        </w:rPr>
        <w:t>）采购结果及相关招标文件及投标文件，本合同经双方友好协商平等、诚信、协作的原则，</w:t>
      </w:r>
      <w:r>
        <w:rPr>
          <w:rFonts w:hint="eastAsia" w:ascii="仿宋_GB2312" w:hAnsi="仿宋_GB2312" w:eastAsia="仿宋_GB2312" w:cs="仿宋_GB2312"/>
          <w:highlight w:val="none"/>
          <w:lang w:val="en-US" w:eastAsia="zh-CN"/>
        </w:rPr>
        <w:t>按照《中华人民共和国政府采购法》和《中华人民共和国民法典》</w:t>
      </w:r>
      <w:r>
        <w:rPr>
          <w:rFonts w:hint="eastAsia" w:ascii="仿宋_GB2312" w:hAnsi="仿宋_GB2312" w:eastAsia="仿宋_GB2312" w:cs="仿宋_GB2312"/>
          <w:highlight w:val="none"/>
          <w:lang w:val="en-US" w:eastAsia="zh-Hans"/>
        </w:rPr>
        <w:t>经协商一致，订立本合同，供双方共同遵守：</w:t>
      </w:r>
    </w:p>
    <w:p w14:paraId="5A691079">
      <w:pPr>
        <w:keepNext w:val="0"/>
        <w:keepLines w:val="0"/>
        <w:pageBreakBefore w:val="0"/>
        <w:widowControl/>
        <w:numPr>
          <w:ilvl w:val="0"/>
          <w:numId w:val="1"/>
        </w:numPr>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 xml:space="preserve"> 合同内容</w:t>
      </w:r>
    </w:p>
    <w:p w14:paraId="635CBAB2">
      <w:pPr>
        <w:keepNext w:val="0"/>
        <w:keepLines w:val="0"/>
        <w:pageBreakBefore w:val="0"/>
        <w:widowControl/>
        <w:numPr>
          <w:ilvl w:val="0"/>
          <w:numId w:val="2"/>
        </w:numPr>
        <w:kinsoku/>
        <w:wordWrap/>
        <w:overflowPunct/>
        <w:topLinePunct w:val="0"/>
        <w:autoSpaceDE/>
        <w:autoSpaceDN/>
        <w:bidi w:val="0"/>
        <w:snapToGrid/>
        <w:spacing w:line="312" w:lineRule="auto"/>
        <w:ind w:firstLine="422" w:firstLineChars="200"/>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标的清单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286"/>
        <w:gridCol w:w="2297"/>
        <w:gridCol w:w="2848"/>
        <w:gridCol w:w="1287"/>
      </w:tblGrid>
      <w:tr w14:paraId="04DE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E0C7975">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序号</w:t>
            </w:r>
          </w:p>
        </w:tc>
        <w:tc>
          <w:tcPr>
            <w:tcW w:w="1286" w:type="dxa"/>
            <w:vAlign w:val="center"/>
          </w:tcPr>
          <w:p w14:paraId="3942EA30">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品目名称</w:t>
            </w:r>
          </w:p>
        </w:tc>
        <w:tc>
          <w:tcPr>
            <w:tcW w:w="2297" w:type="dxa"/>
            <w:vAlign w:val="center"/>
          </w:tcPr>
          <w:p w14:paraId="2951501D">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规格</w:t>
            </w:r>
          </w:p>
        </w:tc>
        <w:tc>
          <w:tcPr>
            <w:tcW w:w="2848" w:type="dxa"/>
            <w:vAlign w:val="center"/>
          </w:tcPr>
          <w:p w14:paraId="51B6922B">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折扣</w:t>
            </w:r>
          </w:p>
        </w:tc>
        <w:tc>
          <w:tcPr>
            <w:tcW w:w="1287" w:type="dxa"/>
            <w:vAlign w:val="center"/>
          </w:tcPr>
          <w:p w14:paraId="0E79F50F">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备注</w:t>
            </w:r>
          </w:p>
        </w:tc>
      </w:tr>
      <w:tr w14:paraId="7950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7A64917">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w:t>
            </w:r>
          </w:p>
        </w:tc>
        <w:tc>
          <w:tcPr>
            <w:tcW w:w="1286" w:type="dxa"/>
            <w:vAlign w:val="center"/>
          </w:tcPr>
          <w:p w14:paraId="2574FBC6">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肉类</w:t>
            </w:r>
          </w:p>
        </w:tc>
        <w:tc>
          <w:tcPr>
            <w:tcW w:w="2297" w:type="dxa"/>
            <w:vAlign w:val="center"/>
          </w:tcPr>
          <w:p w14:paraId="7BD3A0AF">
            <w:pPr>
              <w:widowControl w:val="0"/>
              <w:jc w:val="center"/>
              <w:rPr>
                <w:rFonts w:hint="eastAsia" w:ascii="仿宋_GB2312" w:hAnsi="仿宋_GB2312" w:eastAsia="仿宋_GB2312" w:cs="仿宋_GB2312"/>
                <w:highlight w:val="none"/>
                <w:lang w:val="en-US" w:eastAsia="zh-CN"/>
              </w:rPr>
            </w:pPr>
          </w:p>
        </w:tc>
        <w:tc>
          <w:tcPr>
            <w:tcW w:w="2848" w:type="dxa"/>
            <w:vAlign w:val="center"/>
          </w:tcPr>
          <w:p w14:paraId="6C068FF9">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CN"/>
              </w:rPr>
              <w:t>%</w:t>
            </w:r>
          </w:p>
        </w:tc>
        <w:tc>
          <w:tcPr>
            <w:tcW w:w="1287" w:type="dxa"/>
            <w:vAlign w:val="center"/>
          </w:tcPr>
          <w:p w14:paraId="51EAD500">
            <w:pPr>
              <w:widowControl w:val="0"/>
              <w:jc w:val="center"/>
              <w:rPr>
                <w:rFonts w:hint="eastAsia" w:ascii="仿宋_GB2312" w:hAnsi="仿宋_GB2312" w:eastAsia="仿宋_GB2312" w:cs="仿宋_GB2312"/>
                <w:highlight w:val="none"/>
                <w:lang w:val="en-US" w:eastAsia="zh-CN"/>
              </w:rPr>
            </w:pPr>
          </w:p>
        </w:tc>
      </w:tr>
      <w:tr w14:paraId="43F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DED8BC9">
            <w:pPr>
              <w:widowControl w:val="0"/>
              <w:jc w:val="center"/>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2</w:t>
            </w:r>
          </w:p>
        </w:tc>
        <w:tc>
          <w:tcPr>
            <w:tcW w:w="1286" w:type="dxa"/>
            <w:vAlign w:val="center"/>
          </w:tcPr>
          <w:p w14:paraId="7A4B0345">
            <w:pPr>
              <w:widowControl w:val="0"/>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蛋类</w:t>
            </w:r>
          </w:p>
        </w:tc>
        <w:tc>
          <w:tcPr>
            <w:tcW w:w="2297" w:type="dxa"/>
            <w:vAlign w:val="center"/>
          </w:tcPr>
          <w:p w14:paraId="1722A2FB">
            <w:pPr>
              <w:widowControl w:val="0"/>
              <w:jc w:val="center"/>
              <w:rPr>
                <w:rFonts w:hint="eastAsia" w:ascii="仿宋_GB2312" w:hAnsi="仿宋_GB2312" w:eastAsia="仿宋_GB2312" w:cs="仿宋_GB2312"/>
                <w:highlight w:val="none"/>
                <w:lang w:val="en-US" w:eastAsia="zh-CN"/>
              </w:rPr>
            </w:pPr>
          </w:p>
        </w:tc>
        <w:tc>
          <w:tcPr>
            <w:tcW w:w="2848" w:type="dxa"/>
            <w:vAlign w:val="center"/>
          </w:tcPr>
          <w:p w14:paraId="7F23D0EF">
            <w:pPr>
              <w:widowControl w:val="0"/>
              <w:jc w:val="center"/>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u w:val="single"/>
                <w:lang w:val="en-US" w:eastAsia="zh-CN"/>
              </w:rPr>
              <w:t xml:space="preserve">       </w:t>
            </w:r>
            <w:r>
              <w:rPr>
                <w:rFonts w:hint="eastAsia" w:ascii="仿宋_GB2312" w:hAnsi="仿宋_GB2312" w:eastAsia="仿宋_GB2312" w:cs="仿宋_GB2312"/>
                <w:highlight w:val="none"/>
                <w:lang w:val="en-US" w:eastAsia="zh-CN"/>
              </w:rPr>
              <w:t>%</w:t>
            </w:r>
          </w:p>
        </w:tc>
        <w:tc>
          <w:tcPr>
            <w:tcW w:w="1287" w:type="dxa"/>
            <w:vAlign w:val="center"/>
          </w:tcPr>
          <w:p w14:paraId="1F221BB4">
            <w:pPr>
              <w:widowControl w:val="0"/>
              <w:jc w:val="center"/>
              <w:rPr>
                <w:rFonts w:hint="eastAsia" w:ascii="仿宋_GB2312" w:hAnsi="仿宋_GB2312" w:eastAsia="仿宋_GB2312" w:cs="仿宋_GB2312"/>
                <w:highlight w:val="none"/>
                <w:lang w:val="en-US" w:eastAsia="zh-CN"/>
              </w:rPr>
            </w:pPr>
          </w:p>
        </w:tc>
      </w:tr>
    </w:tbl>
    <w:p w14:paraId="06BECBA2">
      <w:pPr>
        <w:keepNext w:val="0"/>
        <w:keepLines w:val="0"/>
        <w:pageBreakBefore w:val="0"/>
        <w:widowControl/>
        <w:numPr>
          <w:ilvl w:val="0"/>
          <w:numId w:val="2"/>
        </w:numPr>
        <w:kinsoku/>
        <w:wordWrap/>
        <w:overflowPunct/>
        <w:topLinePunct w:val="0"/>
        <w:autoSpaceDE/>
        <w:autoSpaceDN/>
        <w:bidi w:val="0"/>
        <w:snapToGrid/>
        <w:spacing w:line="312" w:lineRule="auto"/>
        <w:ind w:left="0" w:leftChars="0" w:firstLine="422" w:firstLineChars="200"/>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标的货物要求</w:t>
      </w:r>
    </w:p>
    <w:p w14:paraId="516DF2C4">
      <w:pPr>
        <w:ind w:firstLine="480"/>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CN"/>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w:t>
      </w:r>
      <w:r>
        <w:rPr>
          <w:rFonts w:hint="eastAsia" w:ascii="仿宋_GB2312" w:hAnsi="仿宋_GB2312" w:eastAsia="仿宋_GB2312" w:cs="仿宋_GB2312"/>
          <w:highlight w:val="none"/>
          <w:lang w:val="en-US" w:eastAsia="zh-Hans"/>
        </w:rPr>
        <w:t>气味：具有鲜肉固有的气味，无异味。</w:t>
      </w:r>
    </w:p>
    <w:p w14:paraId="7C7E6662">
      <w:pPr>
        <w:numPr>
          <w:ilvl w:val="0"/>
          <w:numId w:val="0"/>
        </w:numPr>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1.猪肉</w:t>
      </w:r>
    </w:p>
    <w:p w14:paraId="2E4CD926">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色泽：鲜红或暗红色，脂肪洁白或乳白，无发绿或发灰。</w:t>
      </w:r>
    </w:p>
    <w:p w14:paraId="768444FA">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气味：正常猪肉气味，无腐臭或药水味。</w:t>
      </w:r>
    </w:p>
    <w:p w14:paraId="6A2407C9">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组织状态：肉质紧实，按压后凹陷迅速恢复。</w:t>
      </w:r>
    </w:p>
    <w:p w14:paraId="7F7C13C2">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表面状态：无血污、病变组织或注水迹象。</w:t>
      </w:r>
    </w:p>
    <w:p w14:paraId="2FE7A23A">
      <w:pPr>
        <w:numPr>
          <w:ilvl w:val="0"/>
          <w:numId w:val="0"/>
        </w:numPr>
        <w:ind w:firstLine="4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安全指标：不得检出瘦肉精（如克伦特罗）等违禁物，抗生素、重金属：符合国家限量标准。</w:t>
      </w:r>
    </w:p>
    <w:p w14:paraId="7C56DD42">
      <w:pPr>
        <w:numPr>
          <w:ilvl w:val="0"/>
          <w:numId w:val="0"/>
        </w:numPr>
        <w:ind w:firstLine="480" w:firstLineChars="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2.牛肉</w:t>
      </w:r>
    </w:p>
    <w:p w14:paraId="39576CB1">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色泽：鲜牛肉呈暗红至深红色，脂肪乳白或淡黄色，无氧化变褐色或发绿。</w:t>
      </w:r>
    </w:p>
    <w:p w14:paraId="296ED302">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气味：正常牛肉气味，无酸败或腐臭味。</w:t>
      </w:r>
    </w:p>
    <w:p w14:paraId="2405A267">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组织状态：肌肉纤维清晰，按压有弹性，无黏液。</w:t>
      </w:r>
    </w:p>
    <w:p w14:paraId="09139060">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表面状态：无血污、病变组织或寄生虫结节。</w:t>
      </w:r>
    </w:p>
    <w:p w14:paraId="015BF8E7">
      <w:pPr>
        <w:numPr>
          <w:ilvl w:val="0"/>
          <w:numId w:val="0"/>
        </w:numPr>
        <w:ind w:firstLine="40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安全指标：抗生素、激素、重金属等符合国家限量标准。</w:t>
      </w:r>
    </w:p>
    <w:p w14:paraId="45A8EBD6">
      <w:pPr>
        <w:numPr>
          <w:ilvl w:val="0"/>
          <w:numId w:val="0"/>
        </w:numPr>
        <w:ind w:firstLine="480" w:firstLineChars="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3.羊肉：</w:t>
      </w:r>
    </w:p>
    <w:p w14:paraId="4109AB95">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色泽：鲜红至暗红色，脂肪白色或乳白色。</w:t>
      </w:r>
    </w:p>
    <w:p w14:paraId="1EC7782D">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气味：正常羊肉膻味，无腐败或酸败味。</w:t>
      </w:r>
    </w:p>
    <w:p w14:paraId="2CA00FF2">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组织状态：肌肉纤维细腻，按压有弹性。</w:t>
      </w:r>
    </w:p>
    <w:p w14:paraId="06D60BCA">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表面状态：无血污或寄生虫结节。</w:t>
      </w:r>
    </w:p>
    <w:p w14:paraId="439707FF">
      <w:pPr>
        <w:numPr>
          <w:ilvl w:val="0"/>
          <w:numId w:val="0"/>
        </w:numPr>
        <w:ind w:firstLine="40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安全指标：抗生素、激素、重金属等符合国家限量标准。</w:t>
      </w:r>
    </w:p>
    <w:p w14:paraId="2A95CDB2">
      <w:pPr>
        <w:numPr>
          <w:ilvl w:val="0"/>
          <w:numId w:val="0"/>
        </w:numPr>
        <w:ind w:firstLine="480" w:firstLineChars="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4.鸡肉：</w:t>
      </w:r>
    </w:p>
    <w:p w14:paraId="38706540">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色泽：肌肉呈粉红或淡红色，脂肪洁白，无灰白或暗红。</w:t>
      </w:r>
    </w:p>
    <w:p w14:paraId="2CC661FA">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气味：正常鸡肉腥味，无腐臭或药水味。</w:t>
      </w:r>
    </w:p>
    <w:p w14:paraId="3B896A03">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组织状态：肌肉紧实有弹性，无黏液。</w:t>
      </w:r>
    </w:p>
    <w:p w14:paraId="40ADE0FA">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表面状态：无血污、羽毛残留或病变组织。</w:t>
      </w:r>
    </w:p>
    <w:p w14:paraId="52F7BC67">
      <w:pPr>
        <w:numPr>
          <w:ilvl w:val="0"/>
          <w:numId w:val="0"/>
        </w:numPr>
        <w:ind w:firstLine="40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安全指标：不得检出氯霉素、瘦肉精等违禁物，抗生素、重金属等符合国家限量标准。</w:t>
      </w:r>
    </w:p>
    <w:p w14:paraId="260DE8AC">
      <w:pPr>
        <w:numPr>
          <w:ilvl w:val="0"/>
          <w:numId w:val="0"/>
        </w:numPr>
        <w:ind w:firstLine="480" w:firstLineChars="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5.鸭肉：</w:t>
      </w:r>
    </w:p>
    <w:p w14:paraId="2CFD503D">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色泽：表皮乳白至淡黄色，肌肉淡红至暗红色。</w:t>
      </w:r>
    </w:p>
    <w:p w14:paraId="4150E139">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气味：正常鸭肉腥味，无腐败或酸败味。</w:t>
      </w:r>
    </w:p>
    <w:p w14:paraId="4602292F">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组织状态：肌肉紧实有弹性。</w:t>
      </w:r>
    </w:p>
    <w:p w14:paraId="303D1546">
      <w:pPr>
        <w:numPr>
          <w:ilvl w:val="0"/>
          <w:numId w:val="0"/>
        </w:numPr>
        <w:ind w:firstLine="4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表面状态：无羽毛残留、血污或病变组织。</w:t>
      </w:r>
    </w:p>
    <w:p w14:paraId="7E2A367F">
      <w:pPr>
        <w:numPr>
          <w:ilvl w:val="0"/>
          <w:numId w:val="0"/>
        </w:numPr>
        <w:ind w:firstLine="40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安全指标：抗生素、激素、重金属等符合国家限量标准。</w:t>
      </w:r>
    </w:p>
    <w:p w14:paraId="7F95A3D1">
      <w:pPr>
        <w:numPr>
          <w:ilvl w:val="0"/>
          <w:numId w:val="0"/>
        </w:numPr>
        <w:ind w:firstLine="480" w:firstLineChars="0"/>
        <w:rPr>
          <w:rFonts w:hint="default"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highlight w:val="none"/>
          <w:lang w:val="en-US" w:eastAsia="zh-CN"/>
        </w:rPr>
        <w:t>6.鸡蛋：鸡蛋每个重量≥60g，鸡蛋为无疫、无残留（兽药、饲料）、无违禁添加物、无异型蛋、脏蛋、血蛋。色泽鲜亮，蛋壳清洁完整无裂缝；确保为三日内新鲜鸡蛋。兽药残留合格（提供第三方检测报告）。</w:t>
      </w:r>
    </w:p>
    <w:p w14:paraId="092CBF9B">
      <w:pPr>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7.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14:paraId="72042471">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第二条  合同价款</w:t>
      </w:r>
    </w:p>
    <w:p w14:paraId="2DEABA5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（一）合同暂定总价为本采购包预算金额：大写：（人民币</w:t>
      </w:r>
      <w:r>
        <w:rPr>
          <w:rFonts w:hint="eastAsia" w:ascii="仿宋_GB2312" w:hAnsi="仿宋_GB2312" w:eastAsia="仿宋_GB2312" w:cs="仿宋_GB2312"/>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（小写：</w:t>
      </w:r>
      <w:r>
        <w:rPr>
          <w:rFonts w:hint="eastAsia" w:ascii="仿宋_GB2312" w:hAnsi="仿宋_GB2312" w:eastAsia="仿宋_GB2312" w:cs="仿宋_GB2312"/>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元）（以实际配送量核算为准）。</w:t>
      </w:r>
    </w:p>
    <w:p w14:paraId="49533431">
      <w:pPr>
        <w:keepNext w:val="0"/>
        <w:keepLines w:val="0"/>
        <w:pageBreakBefore w:val="0"/>
        <w:widowControl/>
        <w:kinsoku/>
        <w:wordWrap/>
        <w:overflowPunct/>
        <w:topLinePunct w:val="0"/>
        <w:autoSpaceDE/>
        <w:autoSpaceDN/>
        <w:bidi w:val="0"/>
        <w:adjustRightInd/>
        <w:snapToGrid/>
        <w:spacing w:line="312" w:lineRule="auto"/>
        <w:ind w:firstLine="400" w:firstLineChars="200"/>
        <w:jc w:val="left"/>
        <w:textAlignment w:val="auto"/>
        <w:rPr>
          <w:rFonts w:hint="eastAsia" w:ascii="宋体" w:hAnsi="宋体" w:eastAsia="宋体" w:cs="宋体"/>
          <w:color w:val="000000"/>
          <w:sz w:val="24"/>
          <w:szCs w:val="24"/>
          <w:highlight w:val="none"/>
        </w:rPr>
      </w:pPr>
      <w:r>
        <w:rPr>
          <w:rFonts w:hint="eastAsia" w:ascii="仿宋_GB2312" w:hAnsi="仿宋_GB2312" w:eastAsia="仿宋_GB2312" w:cs="仿宋_GB2312"/>
          <w:kern w:val="0"/>
          <w:sz w:val="20"/>
          <w:szCs w:val="20"/>
          <w:highlight w:val="none"/>
          <w:lang w:val="en-US" w:eastAsia="zh-CN"/>
        </w:rPr>
        <w:t>（二）</w:t>
      </w:r>
      <w:r>
        <w:rPr>
          <w:rFonts w:hint="eastAsia" w:ascii="仿宋_GB2312" w:hAnsi="仿宋_GB2312" w:eastAsia="仿宋_GB2312" w:cs="仿宋_GB2312"/>
          <w:kern w:val="0"/>
          <w:sz w:val="20"/>
          <w:szCs w:val="20"/>
          <w:highlight w:val="none"/>
          <w:lang w:val="en-US" w:eastAsia="zh-Hans"/>
        </w:rPr>
        <w:t>合同价款包括但不限于</w:t>
      </w:r>
      <w:r>
        <w:rPr>
          <w:rFonts w:hint="eastAsia" w:ascii="仿宋_GB2312" w:hAnsi="仿宋_GB2312" w:eastAsia="仿宋_GB2312" w:cs="仿宋_GB2312"/>
          <w:kern w:val="0"/>
          <w:sz w:val="20"/>
          <w:szCs w:val="20"/>
          <w:highlight w:val="none"/>
          <w:lang w:val="en-US" w:eastAsia="zh-CN"/>
        </w:rPr>
        <w:t>食材采购、仓储、运杂费、配送费、装卸费、检验费、包装费、人工费、培训费、管理费、利润、风险、税金</w:t>
      </w:r>
      <w:r>
        <w:rPr>
          <w:rFonts w:hint="eastAsia" w:ascii="仿宋_GB2312" w:hAnsi="仿宋_GB2312" w:eastAsia="仿宋_GB2312" w:cs="仿宋_GB2312"/>
          <w:kern w:val="0"/>
          <w:sz w:val="20"/>
          <w:szCs w:val="20"/>
          <w:highlight w:val="none"/>
          <w:lang w:val="en-US" w:eastAsia="zh-Hans"/>
        </w:rPr>
        <w:t>等在项目实施过程中所发生的所有费用，任何错报、漏报由乙方自行负责</w:t>
      </w:r>
      <w:r>
        <w:rPr>
          <w:rFonts w:hint="eastAsia" w:ascii="宋体" w:hAnsi="宋体" w:eastAsia="宋体" w:cs="宋体"/>
          <w:color w:val="000000"/>
          <w:sz w:val="24"/>
          <w:szCs w:val="24"/>
          <w:highlight w:val="none"/>
        </w:rPr>
        <w:t>。</w:t>
      </w:r>
    </w:p>
    <w:p w14:paraId="11D677B0">
      <w:pPr>
        <w:keepNext w:val="0"/>
        <w:keepLines w:val="0"/>
        <w:pageBreakBefore w:val="0"/>
        <w:widowControl/>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（三）本合同价款还包含乙方应当提供的伴随服务和售后服务费用。</w:t>
      </w:r>
    </w:p>
    <w:p w14:paraId="1EC77A08">
      <w:pPr>
        <w:keepNext w:val="0"/>
        <w:keepLines w:val="0"/>
        <w:pageBreakBefore w:val="0"/>
        <w:widowControl/>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四）本合同执行期间合同单价按照每半个月结算基准价×中标折扣计算，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p w14:paraId="11748C0E">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第三条  款项结算</w:t>
      </w:r>
    </w:p>
    <w:p w14:paraId="3023B29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（一）结算方式：乙方按照双方签订的合同，根据学校需求每天按时配送，配送量由学校通知确定。学校每月据实结算货款，蛋托不计入核算重量</w:t>
      </w:r>
      <w:r>
        <w:rPr>
          <w:rFonts w:hint="eastAsia" w:ascii="仿宋_GB2312" w:hAnsi="仿宋_GB2312" w:eastAsia="仿宋_GB2312" w:cs="仿宋_GB2312"/>
          <w:kern w:val="0"/>
          <w:sz w:val="20"/>
          <w:szCs w:val="20"/>
          <w:highlight w:val="none"/>
          <w:lang w:val="en-US" w:eastAsia="zh-Hans"/>
        </w:rPr>
        <w:t>。</w:t>
      </w:r>
    </w:p>
    <w:p w14:paraId="4CB2665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（二）支付方式：银行转账</w:t>
      </w:r>
      <w:r>
        <w:rPr>
          <w:rFonts w:hint="eastAsia" w:ascii="仿宋_GB2312" w:hAnsi="仿宋_GB2312" w:eastAsia="仿宋_GB2312" w:cs="仿宋_GB2312"/>
          <w:kern w:val="0"/>
          <w:sz w:val="20"/>
          <w:szCs w:val="20"/>
          <w:highlight w:val="none"/>
          <w:lang w:val="en-US" w:eastAsia="zh-Hans"/>
        </w:rPr>
        <w:t>。</w:t>
      </w:r>
    </w:p>
    <w:p w14:paraId="5619B81E">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由学校负责结算，合同签订后，乙方在每次接受付款前，应先开具符合法律规定的等额发票给学校。</w:t>
      </w:r>
    </w:p>
    <w:p w14:paraId="0496F44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（三）乙方账户信息</w:t>
      </w:r>
      <w:r>
        <w:rPr>
          <w:rFonts w:hint="eastAsia" w:ascii="仿宋_GB2312" w:hAnsi="仿宋_GB2312" w:eastAsia="仿宋_GB2312" w:cs="仿宋_GB2312"/>
          <w:kern w:val="0"/>
          <w:sz w:val="20"/>
          <w:szCs w:val="20"/>
          <w:highlight w:val="none"/>
          <w:lang w:val="en-US" w:eastAsia="zh-Hans"/>
        </w:rPr>
        <w:t>。</w:t>
      </w:r>
    </w:p>
    <w:p w14:paraId="3F150C08">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户名：</w:t>
      </w:r>
    </w:p>
    <w:p w14:paraId="07DA3B1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开户行：</w:t>
      </w:r>
    </w:p>
    <w:p w14:paraId="379A807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账号：</w:t>
      </w:r>
    </w:p>
    <w:p w14:paraId="47676668">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第四条  配送周期</w:t>
      </w:r>
    </w:p>
    <w:p w14:paraId="7DBED1B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2026年</w:t>
      </w:r>
      <w:r>
        <w:rPr>
          <w:rFonts w:hint="eastAsia" w:ascii="仿宋_GB2312" w:hAnsi="仿宋_GB2312" w:eastAsia="仿宋_GB2312" w:cs="仿宋_GB2312"/>
          <w:i/>
          <w:iCs/>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月</w:t>
      </w:r>
      <w:r>
        <w:rPr>
          <w:rFonts w:hint="eastAsia" w:ascii="仿宋_GB2312" w:hAnsi="仿宋_GB2312" w:eastAsia="仿宋_GB2312" w:cs="仿宋_GB2312"/>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日至2027年</w:t>
      </w:r>
      <w:r>
        <w:rPr>
          <w:rFonts w:hint="eastAsia" w:ascii="仿宋_GB2312" w:hAnsi="仿宋_GB2312" w:eastAsia="仿宋_GB2312" w:cs="仿宋_GB2312"/>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月</w:t>
      </w:r>
      <w:r>
        <w:rPr>
          <w:rFonts w:hint="eastAsia" w:ascii="仿宋_GB2312" w:hAnsi="仿宋_GB2312" w:eastAsia="仿宋_GB2312" w:cs="仿宋_GB2312"/>
          <w:kern w:val="0"/>
          <w:sz w:val="20"/>
          <w:szCs w:val="20"/>
          <w:highlight w:val="none"/>
          <w:u w:val="single"/>
          <w:lang w:val="en-US" w:eastAsia="zh-CN"/>
        </w:rPr>
        <w:t xml:space="preserve">    </w:t>
      </w:r>
      <w:r>
        <w:rPr>
          <w:rFonts w:hint="eastAsia" w:ascii="仿宋_GB2312" w:hAnsi="仿宋_GB2312" w:eastAsia="仿宋_GB2312" w:cs="仿宋_GB2312"/>
          <w:kern w:val="0"/>
          <w:sz w:val="20"/>
          <w:szCs w:val="20"/>
          <w:highlight w:val="none"/>
          <w:lang w:val="en-US" w:eastAsia="zh-CN"/>
        </w:rPr>
        <w:t>日（根据学校放假时间为准）</w:t>
      </w:r>
      <w:r>
        <w:rPr>
          <w:rFonts w:hint="eastAsia" w:ascii="仿宋_GB2312" w:hAnsi="仿宋_GB2312" w:eastAsia="仿宋_GB2312" w:cs="仿宋_GB2312"/>
          <w:kern w:val="0"/>
          <w:sz w:val="20"/>
          <w:szCs w:val="20"/>
          <w:highlight w:val="none"/>
          <w:lang w:val="en-US" w:eastAsia="zh-Hans"/>
        </w:rPr>
        <w:t>。</w:t>
      </w:r>
    </w:p>
    <w:p w14:paraId="53B1A929">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第五条  其他要求</w:t>
      </w:r>
    </w:p>
    <w:p w14:paraId="70C9DED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sz w:val="24"/>
          <w:szCs w:val="24"/>
          <w:highlight w:val="none"/>
        </w:rPr>
      </w:pPr>
      <w:r>
        <w:rPr>
          <w:rFonts w:hint="eastAsia" w:ascii="仿宋_GB2312" w:hAnsi="仿宋_GB2312" w:eastAsia="仿宋_GB2312" w:cs="仿宋_GB2312"/>
          <w:kern w:val="0"/>
          <w:sz w:val="20"/>
          <w:szCs w:val="20"/>
          <w:highlight w:val="none"/>
          <w:lang w:val="en-US" w:eastAsia="zh-CN"/>
        </w:rPr>
        <w:t>结合实际情况，教育局有权对因学校拆迁分流等特殊情况导致学生人数变化的学校进行供餐人数的调整，乙方应当按照教育局及学校相关要求，做好人数调整及配送服务，根据实际供货数量据实结算</w:t>
      </w:r>
      <w:r>
        <w:rPr>
          <w:rFonts w:hint="eastAsia" w:ascii="宋体" w:hAnsi="宋体" w:eastAsia="宋体" w:cs="宋体"/>
          <w:color w:val="000000"/>
          <w:sz w:val="24"/>
          <w:szCs w:val="24"/>
          <w:highlight w:val="none"/>
          <w:lang w:bidi="ar"/>
        </w:rPr>
        <w:t>。</w:t>
      </w:r>
    </w:p>
    <w:p w14:paraId="6F029B05">
      <w:pPr>
        <w:keepNext w:val="0"/>
        <w:keepLines w:val="0"/>
        <w:pageBreakBefore w:val="0"/>
        <w:widowControl/>
        <w:kinsoku/>
        <w:wordWrap/>
        <w:overflowPunct/>
        <w:topLinePunct w:val="0"/>
        <w:autoSpaceDE/>
        <w:autoSpaceDN/>
        <w:bidi w:val="0"/>
        <w:snapToGrid/>
        <w:spacing w:line="312" w:lineRule="auto"/>
        <w:jc w:val="left"/>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第六条  交货时间与交货地点</w:t>
      </w:r>
    </w:p>
    <w:p w14:paraId="479ABEC3">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（一）交货时间（期限）：肉蛋类每日配送，每次配送按照学校要求时间准时送达</w:t>
      </w:r>
      <w:r>
        <w:rPr>
          <w:rFonts w:hint="eastAsia" w:ascii="仿宋_GB2312" w:hAnsi="仿宋_GB2312" w:eastAsia="仿宋_GB2312" w:cs="仿宋_GB2312"/>
          <w:kern w:val="0"/>
          <w:sz w:val="20"/>
          <w:szCs w:val="20"/>
          <w:highlight w:val="none"/>
          <w:lang w:val="en-US" w:eastAsia="zh-Hans"/>
        </w:rPr>
        <w:t>。</w:t>
      </w:r>
    </w:p>
    <w:p w14:paraId="1074CCD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（二）交货地点：甲方提供的各学校</w:t>
      </w:r>
      <w:r>
        <w:rPr>
          <w:rFonts w:hint="eastAsia" w:ascii="仿宋_GB2312" w:hAnsi="仿宋_GB2312" w:eastAsia="仿宋_GB2312" w:cs="仿宋_GB2312"/>
          <w:kern w:val="0"/>
          <w:sz w:val="20"/>
          <w:szCs w:val="20"/>
          <w:highlight w:val="none"/>
          <w:lang w:val="en-US" w:eastAsia="zh-Hans"/>
        </w:rPr>
        <w:t>。</w:t>
      </w:r>
    </w:p>
    <w:p w14:paraId="205D6B4C">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第七条  配送方式</w:t>
      </w:r>
    </w:p>
    <w:p w14:paraId="7AEBCFA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Hans"/>
        </w:rPr>
        <w:t>（一）</w:t>
      </w:r>
      <w:r>
        <w:rPr>
          <w:rFonts w:hint="eastAsia" w:ascii="仿宋_GB2312" w:hAnsi="仿宋_GB2312" w:eastAsia="仿宋_GB2312" w:cs="仿宋_GB2312"/>
          <w:kern w:val="0"/>
          <w:sz w:val="20"/>
          <w:szCs w:val="20"/>
          <w:highlight w:val="none"/>
          <w:lang w:val="en-US" w:eastAsia="zh-CN"/>
        </w:rPr>
        <w:t>乙方应单独组织专业配送人员及专用冷链车辆对货物进行统一配送</w:t>
      </w:r>
      <w:r>
        <w:rPr>
          <w:rFonts w:hint="eastAsia" w:ascii="仿宋_GB2312" w:hAnsi="仿宋_GB2312" w:eastAsia="仿宋_GB2312" w:cs="仿宋_GB2312"/>
          <w:kern w:val="0"/>
          <w:sz w:val="20"/>
          <w:szCs w:val="20"/>
          <w:highlight w:val="none"/>
          <w:lang w:val="en-US" w:eastAsia="zh-Hans"/>
        </w:rPr>
        <w:t>。</w:t>
      </w:r>
    </w:p>
    <w:p w14:paraId="382FE49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（二）货物配送必须由乙方直接一次性配送到位，不得中转，不得采取委托、承包、转让、转包给其他公司、区域代理商或者个人进行配送，配送车辆必须采用密闭车辆</w:t>
      </w:r>
      <w:r>
        <w:rPr>
          <w:rFonts w:hint="eastAsia" w:ascii="仿宋_GB2312" w:hAnsi="仿宋_GB2312" w:eastAsia="仿宋_GB2312" w:cs="仿宋_GB2312"/>
          <w:kern w:val="0"/>
          <w:sz w:val="20"/>
          <w:szCs w:val="20"/>
          <w:highlight w:val="none"/>
          <w:lang w:val="en-US" w:eastAsia="zh-Hans"/>
        </w:rPr>
        <w:t>。</w:t>
      </w:r>
    </w:p>
    <w:p w14:paraId="29CEAB36">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Hans"/>
        </w:rPr>
        <w:t>（</w:t>
      </w:r>
      <w:r>
        <w:rPr>
          <w:rFonts w:hint="eastAsia" w:ascii="仿宋_GB2312" w:hAnsi="仿宋_GB2312" w:eastAsia="仿宋_GB2312" w:cs="仿宋_GB2312"/>
          <w:kern w:val="0"/>
          <w:sz w:val="20"/>
          <w:szCs w:val="20"/>
          <w:highlight w:val="none"/>
          <w:lang w:val="en-US" w:eastAsia="zh-CN"/>
        </w:rPr>
        <w:t>三</w:t>
      </w:r>
      <w:r>
        <w:rPr>
          <w:rFonts w:hint="eastAsia" w:ascii="仿宋_GB2312" w:hAnsi="仿宋_GB2312" w:eastAsia="仿宋_GB2312" w:cs="仿宋_GB2312"/>
          <w:kern w:val="0"/>
          <w:sz w:val="20"/>
          <w:szCs w:val="20"/>
          <w:highlight w:val="none"/>
          <w:lang w:val="en-US" w:eastAsia="zh-Hans"/>
        </w:rPr>
        <w:t>）</w:t>
      </w:r>
      <w:r>
        <w:rPr>
          <w:rFonts w:hint="eastAsia" w:ascii="仿宋_GB2312" w:hAnsi="仿宋_GB2312" w:eastAsia="仿宋_GB2312" w:cs="仿宋_GB2312"/>
          <w:kern w:val="0"/>
          <w:sz w:val="20"/>
          <w:szCs w:val="20"/>
          <w:highlight w:val="none"/>
          <w:lang w:val="en-US" w:eastAsia="zh-CN"/>
        </w:rPr>
        <w:t>乙方负责所有货物的运输。确保货物安全、完整到达使用地点，运杂费用包含在总价内，包括货物从供货地点到使用地点的运输费、保险费、搬运费等。</w:t>
      </w:r>
    </w:p>
    <w:p w14:paraId="6DAD05B4">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（四）乙方在按相关规定送货到位后，学校应及时配合配送人员接货并对合同指定的产品进行验收，对破损、变质、受污染的产品拒绝接收</w:t>
      </w:r>
      <w:r>
        <w:rPr>
          <w:rFonts w:hint="eastAsia" w:ascii="仿宋_GB2312" w:hAnsi="仿宋_GB2312" w:eastAsia="仿宋_GB2312" w:cs="仿宋_GB2312"/>
          <w:kern w:val="0"/>
          <w:sz w:val="20"/>
          <w:szCs w:val="20"/>
          <w:highlight w:val="none"/>
          <w:lang w:val="en-US" w:eastAsia="zh-Hans"/>
        </w:rPr>
        <w:t>。</w:t>
      </w:r>
    </w:p>
    <w:p w14:paraId="61630CD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strike w:val="0"/>
          <w:dstrike w:val="0"/>
          <w:kern w:val="0"/>
          <w:sz w:val="20"/>
          <w:szCs w:val="20"/>
          <w:highlight w:val="none"/>
          <w:lang w:val="en-US" w:eastAsia="zh-Hans"/>
        </w:rPr>
      </w:pPr>
      <w:r>
        <w:rPr>
          <w:rFonts w:hint="eastAsia" w:ascii="仿宋_GB2312" w:hAnsi="仿宋_GB2312" w:eastAsia="仿宋_GB2312" w:cs="仿宋_GB2312"/>
          <w:strike w:val="0"/>
          <w:dstrike w:val="0"/>
          <w:kern w:val="0"/>
          <w:sz w:val="20"/>
          <w:szCs w:val="20"/>
          <w:highlight w:val="none"/>
          <w:lang w:val="en-US" w:eastAsia="zh-CN"/>
        </w:rPr>
        <w:t>（五）在乙方配送人员运输、搬运的过程中，造成使用学校设施设备等资产损失的，由乙方为使用学校修复或更新</w:t>
      </w:r>
      <w:r>
        <w:rPr>
          <w:rFonts w:hint="eastAsia" w:ascii="仿宋_GB2312" w:hAnsi="仿宋_GB2312" w:eastAsia="仿宋_GB2312" w:cs="仿宋_GB2312"/>
          <w:strike w:val="0"/>
          <w:dstrike w:val="0"/>
          <w:kern w:val="0"/>
          <w:sz w:val="20"/>
          <w:szCs w:val="20"/>
          <w:highlight w:val="none"/>
          <w:lang w:val="en-US" w:eastAsia="zh-Hans"/>
        </w:rPr>
        <w:t>。</w:t>
      </w:r>
    </w:p>
    <w:p w14:paraId="433451C1">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第八条  质量保证</w:t>
      </w:r>
    </w:p>
    <w:p w14:paraId="4EA48870">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default"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（一）乙方提供的产品必须是所投品牌企业正规生产的产品，符合国家及行业相关要求。</w:t>
      </w:r>
    </w:p>
    <w:p w14:paraId="3E6FF92A">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Hans"/>
        </w:rPr>
      </w:pPr>
      <w:r>
        <w:rPr>
          <w:rFonts w:hint="eastAsia" w:ascii="仿宋_GB2312" w:hAnsi="仿宋_GB2312" w:eastAsia="仿宋_GB2312" w:cs="仿宋_GB2312"/>
          <w:kern w:val="0"/>
          <w:sz w:val="20"/>
          <w:szCs w:val="20"/>
          <w:highlight w:val="none"/>
          <w:lang w:val="en-US" w:eastAsia="zh-CN"/>
        </w:rPr>
        <w:t>（二）乙方所供货物是经过国家相关部门检验认可的或检测机构检验、注册、准许市场销售的合法产品</w:t>
      </w:r>
      <w:r>
        <w:rPr>
          <w:rFonts w:hint="eastAsia" w:ascii="仿宋_GB2312" w:hAnsi="仿宋_GB2312" w:eastAsia="仿宋_GB2312" w:cs="仿宋_GB2312"/>
          <w:kern w:val="0"/>
          <w:sz w:val="20"/>
          <w:szCs w:val="20"/>
          <w:highlight w:val="none"/>
          <w:lang w:val="en-US" w:eastAsia="zh-Hans"/>
        </w:rPr>
        <w:t>。</w:t>
      </w:r>
    </w:p>
    <w:p w14:paraId="0AA5B9C9">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（三）货物的保质期符合国家标准。</w:t>
      </w:r>
    </w:p>
    <w:p w14:paraId="6E35392C">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Calibri" w:hAnsi="Calibri" w:eastAsia="宋体" w:cs="Times New Roman"/>
          <w:highlight w:val="none"/>
          <w:lang w:eastAsia="zh-CN"/>
        </w:rPr>
      </w:pPr>
      <w:r>
        <w:rPr>
          <w:rFonts w:hint="eastAsia" w:ascii="仿宋_GB2312" w:hAnsi="仿宋_GB2312" w:eastAsia="仿宋_GB2312" w:cs="仿宋_GB2312"/>
          <w:kern w:val="0"/>
          <w:sz w:val="20"/>
          <w:szCs w:val="20"/>
          <w:highlight w:val="none"/>
          <w:lang w:val="en-US" w:eastAsia="zh-CN"/>
        </w:rPr>
        <w:t>（四）乙方提供的食材若出现食材质量问题（如变质、发霉、过期、异味等），第一次发生时，当场拒收问题食材，要求乙方立即完成退换货，同时按问题食材货值的3倍支付违约金（最低3000元）并给予警告；第二次发生时，暂停该乙方当日所有供应，立即清退同批次/同品类食材并由乙方承担第三次检测费用，按货值5倍支付违约金（最低5000元）；第三次发生时，暂停该乙方当日所有供应，立即清退同批次/同品类食材并由乙方承担第三次检测费用，按货值10倍支付违约金（最低20000元），甲方可视情况终止合同，乙方赔偿甲方所有损失</w:t>
      </w:r>
      <w:r>
        <w:rPr>
          <w:rFonts w:hint="eastAsia" w:ascii="Calibri" w:hAnsi="Calibri" w:eastAsia="宋体" w:cs="Times New Roman"/>
          <w:highlight w:val="none"/>
          <w:lang w:eastAsia="zh-CN"/>
        </w:rPr>
        <w:t>。</w:t>
      </w:r>
      <w:r>
        <w:rPr>
          <w:rFonts w:hint="eastAsia" w:ascii="仿宋_GB2312" w:hAnsi="仿宋_GB2312" w:eastAsia="仿宋_GB2312" w:cs="仿宋_GB2312"/>
          <w:kern w:val="0"/>
          <w:sz w:val="20"/>
          <w:szCs w:val="20"/>
          <w:highlight w:val="none"/>
          <w:lang w:val="en-US" w:eastAsia="zh-CN"/>
        </w:rPr>
        <w:t>乙方发生本合同约定严重违约的，须承担全部违约责任，甲方可将相关违约材料报送监管部门，申请列入供应商不良行为记录，后续将影响乙方参与本单位同类采购项目。</w:t>
      </w:r>
    </w:p>
    <w:p w14:paraId="0E7A183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五）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4A6E07B4">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 xml:space="preserve">第九条  </w:t>
      </w:r>
      <w:r>
        <w:rPr>
          <w:rFonts w:hint="eastAsia" w:ascii="仿宋_GB2312" w:hAnsi="仿宋_GB2312" w:eastAsia="仿宋_GB2312" w:cs="仿宋_GB2312"/>
          <w:b/>
          <w:bCs/>
          <w:kern w:val="0"/>
          <w:sz w:val="21"/>
          <w:szCs w:val="21"/>
          <w:highlight w:val="none"/>
          <w:lang w:val="en-US" w:eastAsia="zh-CN"/>
        </w:rPr>
        <w:fldChar w:fldCharType="begin"/>
      </w:r>
      <w:r>
        <w:rPr>
          <w:rFonts w:hint="eastAsia" w:ascii="仿宋_GB2312" w:hAnsi="仿宋_GB2312" w:eastAsia="仿宋_GB2312" w:cs="仿宋_GB2312"/>
          <w:b/>
          <w:bCs/>
          <w:kern w:val="0"/>
          <w:sz w:val="21"/>
          <w:szCs w:val="21"/>
          <w:highlight w:val="none"/>
          <w:lang w:val="en-US" w:eastAsia="zh-CN"/>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_GB2312" w:hAnsi="仿宋_GB2312" w:eastAsia="仿宋_GB2312" w:cs="仿宋_GB2312"/>
          <w:b/>
          <w:bCs/>
          <w:kern w:val="0"/>
          <w:sz w:val="21"/>
          <w:szCs w:val="21"/>
          <w:highlight w:val="none"/>
          <w:lang w:val="en-US" w:eastAsia="zh-CN"/>
        </w:rPr>
        <w:fldChar w:fldCharType="separate"/>
      </w:r>
      <w:r>
        <w:rPr>
          <w:rFonts w:hint="eastAsia" w:ascii="仿宋_GB2312" w:hAnsi="仿宋_GB2312" w:eastAsia="仿宋_GB2312" w:cs="仿宋_GB2312"/>
          <w:b/>
          <w:bCs/>
          <w:kern w:val="0"/>
          <w:sz w:val="21"/>
          <w:szCs w:val="21"/>
          <w:highlight w:val="none"/>
          <w:lang w:val="en-US" w:eastAsia="zh-CN"/>
        </w:rPr>
        <w:t>权利保证</w:t>
      </w:r>
      <w:r>
        <w:rPr>
          <w:rFonts w:hint="eastAsia" w:ascii="仿宋_GB2312" w:hAnsi="仿宋_GB2312" w:eastAsia="仿宋_GB2312" w:cs="仿宋_GB2312"/>
          <w:b/>
          <w:bCs/>
          <w:kern w:val="0"/>
          <w:sz w:val="21"/>
          <w:szCs w:val="21"/>
          <w:highlight w:val="none"/>
          <w:lang w:val="en-US" w:eastAsia="zh-CN"/>
        </w:rPr>
        <w:fldChar w:fldCharType="end"/>
      </w:r>
    </w:p>
    <w:p w14:paraId="42503832">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（一）乙方保证对其出售的产品享有合法的权利。</w:t>
      </w:r>
    </w:p>
    <w:p w14:paraId="551B1661">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（二）乙方保证对其出售的产品上不存在任何未曾向甲方透漏的担保物权，如抵押权、质押权、留置权。</w:t>
      </w:r>
    </w:p>
    <w:p w14:paraId="542B40BF">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eastAsia" w:ascii="宋体" w:hAnsi="宋体" w:eastAsia="宋体" w:cs="宋体"/>
          <w:color w:val="000000"/>
          <w:kern w:val="0"/>
          <w:sz w:val="24"/>
          <w:szCs w:val="24"/>
          <w:highlight w:val="none"/>
        </w:rPr>
      </w:pPr>
      <w:r>
        <w:rPr>
          <w:rFonts w:hint="eastAsia" w:ascii="仿宋_GB2312" w:hAnsi="仿宋_GB2312" w:eastAsia="仿宋_GB2312" w:cs="仿宋_GB2312"/>
          <w:kern w:val="0"/>
          <w:sz w:val="20"/>
          <w:szCs w:val="20"/>
          <w:highlight w:val="none"/>
          <w:lang w:val="en-US" w:eastAsia="zh-CN"/>
        </w:rPr>
        <w:t>（三）乙方保证对其出售的产品或其任何一部分没有侵犯第三方的专利权、版权、商标权或其他权利</w:t>
      </w:r>
      <w:r>
        <w:rPr>
          <w:rFonts w:hint="eastAsia" w:ascii="宋体" w:hAnsi="宋体" w:eastAsia="宋体" w:cs="宋体"/>
          <w:color w:val="000000"/>
          <w:kern w:val="0"/>
          <w:sz w:val="24"/>
          <w:szCs w:val="24"/>
          <w:highlight w:val="none"/>
        </w:rPr>
        <w:t>。</w:t>
      </w:r>
    </w:p>
    <w:p w14:paraId="7E8643AD">
      <w:pPr>
        <w:keepNext w:val="0"/>
        <w:keepLines w:val="0"/>
        <w:pageBreakBefore w:val="0"/>
        <w:widowControl/>
        <w:kinsoku/>
        <w:wordWrap/>
        <w:overflowPunct/>
        <w:topLinePunct w:val="0"/>
        <w:autoSpaceDE/>
        <w:autoSpaceDN/>
        <w:bidi w:val="0"/>
        <w:adjustRightInd/>
        <w:snapToGrid/>
        <w:spacing w:line="312" w:lineRule="auto"/>
        <w:ind w:right="-512" w:rightChars="-244"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（四）如甲方使用该产品构成上述侵权的，则由乙方承担全部责任。</w:t>
      </w:r>
    </w:p>
    <w:p w14:paraId="7EFBF291">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 xml:space="preserve">第十条  </w:t>
      </w:r>
      <w:r>
        <w:rPr>
          <w:rFonts w:hint="eastAsia" w:ascii="仿宋_GB2312" w:hAnsi="仿宋_GB2312" w:eastAsia="仿宋_GB2312" w:cs="仿宋_GB2312"/>
          <w:b/>
          <w:bCs/>
          <w:kern w:val="0"/>
          <w:sz w:val="21"/>
          <w:szCs w:val="21"/>
          <w:highlight w:val="none"/>
          <w:lang w:val="en-US" w:eastAsia="zh-CN"/>
        </w:rPr>
        <w:fldChar w:fldCharType="begin"/>
      </w:r>
      <w:r>
        <w:rPr>
          <w:rFonts w:hint="eastAsia" w:ascii="仿宋_GB2312" w:hAnsi="仿宋_GB2312" w:eastAsia="仿宋_GB2312" w:cs="仿宋_GB2312"/>
          <w:b/>
          <w:bCs/>
          <w:kern w:val="0"/>
          <w:sz w:val="21"/>
          <w:szCs w:val="21"/>
          <w:highlight w:val="none"/>
          <w:lang w:val="en-US"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b/>
          <w:bCs/>
          <w:kern w:val="0"/>
          <w:sz w:val="21"/>
          <w:szCs w:val="21"/>
          <w:highlight w:val="none"/>
          <w:lang w:val="en-US" w:eastAsia="zh-CN"/>
        </w:rPr>
        <w:fldChar w:fldCharType="separate"/>
      </w:r>
      <w:r>
        <w:rPr>
          <w:rFonts w:hint="eastAsia" w:ascii="仿宋_GB2312" w:hAnsi="仿宋_GB2312" w:eastAsia="仿宋_GB2312" w:cs="仿宋_GB2312"/>
          <w:b/>
          <w:bCs/>
          <w:kern w:val="0"/>
          <w:sz w:val="21"/>
          <w:szCs w:val="21"/>
          <w:highlight w:val="none"/>
          <w:lang w:val="en-US" w:eastAsia="zh-CN"/>
        </w:rPr>
        <w:t>包装要求与运输方式</w:t>
      </w:r>
      <w:r>
        <w:rPr>
          <w:rFonts w:hint="eastAsia" w:ascii="仿宋_GB2312" w:hAnsi="仿宋_GB2312" w:eastAsia="仿宋_GB2312" w:cs="仿宋_GB2312"/>
          <w:b/>
          <w:bCs/>
          <w:kern w:val="0"/>
          <w:sz w:val="21"/>
          <w:szCs w:val="21"/>
          <w:highlight w:val="none"/>
          <w:lang w:val="en-US" w:eastAsia="zh-CN"/>
        </w:rPr>
        <w:fldChar w:fldCharType="end"/>
      </w:r>
    </w:p>
    <w:p w14:paraId="65EE8B55">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（一）除合同另有规定外，乙方提供的全部货物，均应按标准保护措施进行包装，并确保货物安全无损运</w:t>
      </w:r>
      <w:r>
        <w:rPr>
          <w:rFonts w:hint="eastAsia" w:ascii="仿宋_GB2312" w:hAnsi="仿宋_GB2312" w:eastAsia="仿宋_GB2312" w:cs="仿宋_GB2312"/>
          <w:strike w:val="0"/>
          <w:dstrike w:val="0"/>
          <w:kern w:val="0"/>
          <w:sz w:val="20"/>
          <w:szCs w:val="20"/>
          <w:highlight w:val="none"/>
          <w:lang w:val="en-US" w:eastAsia="zh-CN"/>
        </w:rPr>
        <w:t>抵甲方或甲方下属学校指定地点</w:t>
      </w:r>
    </w:p>
    <w:p w14:paraId="45161177">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highlight w:val="none"/>
          <w:lang w:val="en-US" w:eastAsia="zh-CN"/>
        </w:rPr>
      </w:pPr>
      <w:r>
        <w:rPr>
          <w:rFonts w:hint="eastAsia" w:ascii="仿宋_GB2312" w:hAnsi="仿宋_GB2312" w:eastAsia="仿宋_GB2312" w:cs="仿宋_GB2312"/>
          <w:strike w:val="0"/>
          <w:dstrike w:val="0"/>
          <w:kern w:val="0"/>
          <w:sz w:val="20"/>
          <w:szCs w:val="20"/>
          <w:highlight w:val="none"/>
          <w:lang w:val="en-US" w:eastAsia="zh-CN"/>
        </w:rPr>
        <w:t>（二）每一配送批次应附一份详细配送单、质量合格证和检验检疫报告。</w:t>
      </w:r>
    </w:p>
    <w:p w14:paraId="6618DE4B">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strike w:val="0"/>
          <w:dstrike w:val="0"/>
          <w:kern w:val="0"/>
          <w:sz w:val="20"/>
          <w:szCs w:val="20"/>
          <w:highlight w:val="none"/>
          <w:lang w:val="en-US" w:eastAsia="zh-CN"/>
        </w:rPr>
      </w:pPr>
      <w:r>
        <w:rPr>
          <w:rFonts w:hint="eastAsia" w:ascii="仿宋_GB2312" w:hAnsi="仿宋_GB2312" w:eastAsia="仿宋_GB2312" w:cs="仿宋_GB2312"/>
          <w:strike w:val="0"/>
          <w:dstrike w:val="0"/>
          <w:kern w:val="0"/>
          <w:sz w:val="20"/>
          <w:szCs w:val="20"/>
          <w:highlight w:val="none"/>
          <w:lang w:val="en-US" w:eastAsia="zh-CN"/>
        </w:rPr>
        <w:t>（三）固定专人、专车配送，乙方用于配送食品的车辆要有合法手续，配送车辆行驶证、司机驾驶证、配送人员健康证等手续需在教育局备案，配送货物途中发生一切事故由乙方全权承担。配送车辆、人员要有明显标志。每次配送到校，需认真做好交接手续。</w:t>
      </w:r>
    </w:p>
    <w:p w14:paraId="6FC9F44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default" w:ascii="仿宋_GB2312" w:hAnsi="仿宋_GB2312" w:eastAsia="仿宋_GB2312" w:cs="仿宋_GB2312"/>
          <w:strike w:val="0"/>
          <w:dstrike w:val="0"/>
          <w:kern w:val="0"/>
          <w:sz w:val="20"/>
          <w:szCs w:val="20"/>
          <w:highlight w:val="none"/>
          <w:lang w:val="en-US" w:eastAsia="zh-CN"/>
        </w:rPr>
      </w:pPr>
      <w:r>
        <w:rPr>
          <w:rFonts w:hint="eastAsia" w:ascii="仿宋_GB2312" w:hAnsi="仿宋_GB2312" w:eastAsia="仿宋_GB2312" w:cs="仿宋_GB2312"/>
          <w:strike w:val="0"/>
          <w:dstrike w:val="0"/>
          <w:kern w:val="0"/>
          <w:sz w:val="20"/>
          <w:szCs w:val="20"/>
          <w:highlight w:val="none"/>
          <w:lang w:val="en-US" w:eastAsia="zh-CN"/>
        </w:rPr>
        <w:t>（四）配送要求：乙方不应在学生来校、离校时间配送，以免造成校门口拥堵混乱。</w:t>
      </w:r>
    </w:p>
    <w:p w14:paraId="29220928">
      <w:pPr>
        <w:keepNext w:val="0"/>
        <w:keepLines w:val="0"/>
        <w:pageBreakBefore w:val="0"/>
        <w:widowControl/>
        <w:kinsoku/>
        <w:wordWrap/>
        <w:overflowPunct/>
        <w:topLinePunct w:val="0"/>
        <w:autoSpaceDE/>
        <w:autoSpaceDN/>
        <w:bidi w:val="0"/>
        <w:snapToGrid/>
        <w:spacing w:line="312" w:lineRule="auto"/>
        <w:jc w:val="both"/>
        <w:textAlignment w:val="auto"/>
        <w:rPr>
          <w:rFonts w:hint="default" w:ascii="仿宋_GB2312" w:hAnsi="仿宋_GB2312" w:eastAsia="仿宋_GB2312" w:cs="仿宋_GB2312"/>
          <w:b/>
          <w:bCs/>
          <w:strike w:val="0"/>
          <w:dstrike w:val="0"/>
          <w:kern w:val="0"/>
          <w:sz w:val="21"/>
          <w:szCs w:val="21"/>
          <w:highlight w:val="none"/>
          <w:lang w:val="en-US" w:eastAsia="zh-CN"/>
        </w:rPr>
      </w:pPr>
      <w:r>
        <w:rPr>
          <w:rFonts w:hint="eastAsia" w:ascii="仿宋_GB2312" w:hAnsi="仿宋_GB2312" w:eastAsia="仿宋_GB2312" w:cs="仿宋_GB2312"/>
          <w:b/>
          <w:bCs/>
          <w:strike w:val="0"/>
          <w:dstrike w:val="0"/>
          <w:kern w:val="0"/>
          <w:sz w:val="21"/>
          <w:szCs w:val="21"/>
          <w:highlight w:val="none"/>
          <w:lang w:val="en-US" w:eastAsia="zh-CN"/>
        </w:rPr>
        <w:t>第十一条  产品验收</w:t>
      </w:r>
    </w:p>
    <w:p w14:paraId="3471B9CD">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strike w:val="0"/>
          <w:dstrike w:val="0"/>
          <w:kern w:val="0"/>
          <w:sz w:val="20"/>
          <w:szCs w:val="20"/>
          <w:highlight w:val="none"/>
          <w:lang w:val="en-US" w:eastAsia="zh-CN"/>
        </w:rPr>
        <w:t>（一）货物到货后，由甲方或甲方下属各项目学校与乙方共同进行外观验收，验收内容包括：外包装的完好性，肉类感官性状、产品规格、数量及产地与合同要</w:t>
      </w:r>
      <w:r>
        <w:rPr>
          <w:rFonts w:hint="eastAsia" w:ascii="仿宋_GB2312" w:hAnsi="仿宋_GB2312" w:eastAsia="仿宋_GB2312" w:cs="仿宋_GB2312"/>
          <w:kern w:val="0"/>
          <w:sz w:val="20"/>
          <w:szCs w:val="20"/>
          <w:highlight w:val="none"/>
          <w:lang w:val="en-US" w:eastAsia="zh-CN"/>
        </w:rPr>
        <w:t>求的一致性。</w:t>
      </w:r>
    </w:p>
    <w:p w14:paraId="46B47721">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（二）验收依据</w:t>
      </w:r>
    </w:p>
    <w:p w14:paraId="19689B81">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各使用学校根据国内相应的标准、规范及甲方根据合同文本、合同附件、招标文件、投标文件进行验收。</w:t>
      </w:r>
    </w:p>
    <w:p w14:paraId="03488C76">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（三）货物（产品）验收时发现问题的处理方法：</w:t>
      </w:r>
    </w:p>
    <w:p w14:paraId="7A6B0B73">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1.乙方提供不符合招标文件和本合同规定的货物（产品），甲方有权拒绝接收。</w:t>
      </w:r>
    </w:p>
    <w:p w14:paraId="303E1564">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2.如发现交付的货物有短装、损坏、变质或其他不符合标准及本合同规定之情形者，甲方有权要求更换货物、乙方要无条件第一时间进行更换配送。由此产生的时间延误与有关费用由乙方承担。</w:t>
      </w:r>
    </w:p>
    <w:p w14:paraId="37FA9F99">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第十二条  免费技术培训</w:t>
      </w:r>
    </w:p>
    <w:p w14:paraId="4977D583">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（一）培训内容：膳食营养、食品安全等知识。</w:t>
      </w:r>
    </w:p>
    <w:p w14:paraId="647ABAB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（二）乙方必须按照甲方的要求组织人员，采用指定地点集中培训和各项目学校分散培训相结合的方式。</w:t>
      </w:r>
    </w:p>
    <w:p w14:paraId="1A18EF99">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（三）培训地点：甲方指定地点或各项目学校。</w:t>
      </w:r>
    </w:p>
    <w:p w14:paraId="6E6D690E">
      <w:pPr>
        <w:keepNext w:val="0"/>
        <w:keepLines w:val="0"/>
        <w:pageBreakBefore w:val="0"/>
        <w:widowControl/>
        <w:kinsoku/>
        <w:wordWrap/>
        <w:overflowPunct/>
        <w:topLinePunct w:val="0"/>
        <w:autoSpaceDE/>
        <w:autoSpaceDN/>
        <w:bidi w:val="0"/>
        <w:snapToGrid/>
        <w:spacing w:line="312" w:lineRule="auto"/>
        <w:jc w:val="both"/>
        <w:textAlignment w:val="auto"/>
        <w:rPr>
          <w:rFonts w:hint="default"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第十三条售后服务及应急处理</w:t>
      </w:r>
    </w:p>
    <w:p w14:paraId="19BC620F">
      <w:pPr>
        <w:keepNext w:val="0"/>
        <w:keepLines w:val="0"/>
        <w:pageBreakBefore w:val="0"/>
        <w:widowControl/>
        <w:numPr>
          <w:ilvl w:val="0"/>
          <w:numId w:val="3"/>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乙方应按照国家有关法律法规和“三包”规定以及招标文件要求和投标文件的“服务承诺”提供服务。</w:t>
      </w:r>
    </w:p>
    <w:p w14:paraId="63D7722F">
      <w:pPr>
        <w:keepNext w:val="0"/>
        <w:keepLines w:val="0"/>
        <w:pageBreakBefore w:val="0"/>
        <w:widowControl/>
        <w:numPr>
          <w:ilvl w:val="0"/>
          <w:numId w:val="3"/>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紧急情况处理：因乙方提供食材问题，导致学生食用后出现头晕、呕吐、腹痛等不适时，应立即送到校医务室或就近医院检查治疗，并立即通知乙方，乙方接到通知后应立即前往现场，进行应急处置，由双发将食材样品送交卫生、质检部门进行检验，因乙方产品质量产生的所有责任全部由乙方承担。</w:t>
      </w:r>
    </w:p>
    <w:p w14:paraId="2F7CD9D3">
      <w:pPr>
        <w:keepNext w:val="0"/>
        <w:keepLines w:val="0"/>
        <w:pageBreakBefore w:val="0"/>
        <w:widowControl/>
        <w:numPr>
          <w:ilvl w:val="0"/>
          <w:numId w:val="3"/>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产品坏包处理：甲方所辖学校若发现产品出现胀包、破损、变质等问题应立即制止学生食用，并及时通知乙方对产品进行退换，乙方要实行无条件一比一退换，并且乙方承担由此造成的全部损失。</w:t>
      </w:r>
    </w:p>
    <w:p w14:paraId="34352156">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第十四条  其它事项</w:t>
      </w:r>
    </w:p>
    <w:p w14:paraId="0A85322F">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（一）乙方不得将项目转让、分包给其它单位或个人。</w:t>
      </w:r>
    </w:p>
    <w:p w14:paraId="57CB6974">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（二）乙方的投标文件和承诺等内容将列入合同。</w:t>
      </w:r>
    </w:p>
    <w:p w14:paraId="3EFF595E">
      <w:pPr>
        <w:keepNext w:val="0"/>
        <w:keepLines w:val="0"/>
        <w:pageBreakBefore w:val="0"/>
        <w:widowControl/>
        <w:kinsoku/>
        <w:wordWrap/>
        <w:overflowPunct/>
        <w:topLinePunct w:val="0"/>
        <w:autoSpaceDE/>
        <w:autoSpaceDN/>
        <w:bidi w:val="0"/>
        <w:snapToGrid/>
        <w:spacing w:line="312" w:lineRule="auto"/>
        <w:jc w:val="both"/>
        <w:textAlignment w:val="auto"/>
        <w:rPr>
          <w:rFonts w:hint="default"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第十五条违约责任</w:t>
      </w:r>
    </w:p>
    <w:p w14:paraId="6E2D134E">
      <w:pPr>
        <w:keepNext w:val="0"/>
        <w:keepLines w:val="0"/>
        <w:pageBreakBefore w:val="0"/>
        <w:widowControl/>
        <w:numPr>
          <w:ilvl w:val="0"/>
          <w:numId w:val="4"/>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按《中华人民共和国民法典》中的相关条款执行。</w:t>
      </w:r>
    </w:p>
    <w:p w14:paraId="4E9B036E">
      <w:pPr>
        <w:keepNext w:val="0"/>
        <w:keepLines w:val="0"/>
        <w:pageBreakBefore w:val="0"/>
        <w:widowControl/>
        <w:numPr>
          <w:ilvl w:val="0"/>
          <w:numId w:val="4"/>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按合同要求提供服务或服务质量不能满足采购技术要求，乙方必须无条件提高技术，完善服务质量，否则，甲方有权会同监督机构终止合同并对乙方违约行为进行追究，同时按“政府采购相关法律法规或管理办法”进行相应的处罚。</w:t>
      </w:r>
    </w:p>
    <w:p w14:paraId="465A4F44">
      <w:pPr>
        <w:keepNext w:val="0"/>
        <w:keepLines w:val="0"/>
        <w:pageBreakBefore w:val="0"/>
        <w:widowControl/>
        <w:numPr>
          <w:ilvl w:val="0"/>
          <w:numId w:val="4"/>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如果任何一方当事人受到不能预见、不能避免且不能克服的外部环境因素或上级政策变化导致的不可抗力事件的影响而无法履行或无法完整履行合同条款的需提前通知对方。</w:t>
      </w:r>
    </w:p>
    <w:p w14:paraId="1CD2708E">
      <w:pPr>
        <w:keepNext w:val="0"/>
        <w:keepLines w:val="0"/>
        <w:pageBreakBefore w:val="0"/>
        <w:widowControl/>
        <w:numPr>
          <w:ilvl w:val="0"/>
          <w:numId w:val="4"/>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乙方应确保所供产品符合要求，在产品质保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44118662">
      <w:pPr>
        <w:keepNext w:val="0"/>
        <w:keepLines w:val="0"/>
        <w:pageBreakBefore w:val="0"/>
        <w:widowControl/>
        <w:numPr>
          <w:ilvl w:val="0"/>
          <w:numId w:val="4"/>
        </w:numPr>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乙方若引发食品安全事故需承担全部损失，同时列入黑名单并通报监管部门</w:t>
      </w:r>
    </w:p>
    <w:p w14:paraId="5E4898A9">
      <w:pPr>
        <w:keepNext w:val="0"/>
        <w:keepLines w:val="0"/>
        <w:pageBreakBefore w:val="0"/>
        <w:widowControl/>
        <w:kinsoku/>
        <w:wordWrap/>
        <w:overflowPunct/>
        <w:topLinePunct w:val="0"/>
        <w:autoSpaceDE/>
        <w:autoSpaceDN/>
        <w:bidi w:val="0"/>
        <w:snapToGrid/>
        <w:spacing w:line="312" w:lineRule="auto"/>
        <w:jc w:val="both"/>
        <w:textAlignment w:val="auto"/>
        <w:rPr>
          <w:rFonts w:hint="default"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第十六条监督和管理</w:t>
      </w:r>
    </w:p>
    <w:p w14:paraId="550AC37A">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（一）政府采购合同履行中，采购人需追加与合同标的相同的货物、工程或服务的，在不改变合同其他条款的前提下，可以与供应商协商签订补充合同，但所有补充合同的采购金额不得超过原合同采购金额的10%</w:t>
      </w:r>
    </w:p>
    <w:p w14:paraId="51FDA143">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（二）甲乙双方均应自觉配合有关监督管理部门对合同履行情况的监督检查，如实反映情况，提供有关资料；否则，将对有关单位、当事人按照有关规定予以处罚。</w:t>
      </w:r>
    </w:p>
    <w:p w14:paraId="313F333A">
      <w:pPr>
        <w:keepNext w:val="0"/>
        <w:keepLines w:val="0"/>
        <w:pageBreakBefore w:val="0"/>
        <w:widowControl/>
        <w:kinsoku/>
        <w:wordWrap/>
        <w:overflowPunct/>
        <w:topLinePunct w:val="0"/>
        <w:autoSpaceDE/>
        <w:autoSpaceDN/>
        <w:bidi w:val="0"/>
        <w:snapToGrid/>
        <w:spacing w:line="312" w:lineRule="auto"/>
        <w:jc w:val="both"/>
        <w:textAlignment w:val="auto"/>
        <w:rPr>
          <w:rFonts w:hint="default"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第十七条合同争议解决的方式</w:t>
      </w:r>
    </w:p>
    <w:p w14:paraId="481F17E8">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本合同在履行过程中发生的争议，由甲、乙双方当事人协商解决，协商不成的按下列第（二）种方式解决：</w:t>
      </w:r>
    </w:p>
    <w:p w14:paraId="5AEA5E71">
      <w:pPr>
        <w:keepNext w:val="0"/>
        <w:keepLines w:val="0"/>
        <w:pageBreakBefore w:val="0"/>
        <w:widowControl/>
        <w:numPr>
          <w:ilvl w:val="0"/>
          <w:numId w:val="5"/>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提交西安仲裁委员会仲裁；</w:t>
      </w:r>
    </w:p>
    <w:p w14:paraId="556861A2">
      <w:pPr>
        <w:keepNext w:val="0"/>
        <w:keepLines w:val="0"/>
        <w:pageBreakBefore w:val="0"/>
        <w:widowControl/>
        <w:numPr>
          <w:ilvl w:val="0"/>
          <w:numId w:val="5"/>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依法向甲方所在地人民法院起诉。</w:t>
      </w:r>
    </w:p>
    <w:p w14:paraId="0810DBD2">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第十八条合同文件</w:t>
      </w:r>
    </w:p>
    <w:p w14:paraId="0A589E2B">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详细技术说明及其他有关合同项目的特定信息由合同附件予以说明，下列文件构成本合同的组成部分，应该认为是一个整体，彼此相互解释，相互补充。组成合同的多个文件的优先支配地位的次序如下：</w:t>
      </w:r>
    </w:p>
    <w:p w14:paraId="6CCAE082">
      <w:pPr>
        <w:keepNext w:val="0"/>
        <w:keepLines w:val="0"/>
        <w:pageBreakBefore w:val="0"/>
        <w:widowControl/>
        <w:numPr>
          <w:ilvl w:val="0"/>
          <w:numId w:val="6"/>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本合同书</w:t>
      </w:r>
    </w:p>
    <w:p w14:paraId="4F8BD9FD">
      <w:pPr>
        <w:keepNext w:val="0"/>
        <w:keepLines w:val="0"/>
        <w:pageBreakBefore w:val="0"/>
        <w:widowControl/>
        <w:numPr>
          <w:ilvl w:val="0"/>
          <w:numId w:val="6"/>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中标通知书</w:t>
      </w:r>
    </w:p>
    <w:p w14:paraId="4DE5520B">
      <w:pPr>
        <w:keepNext w:val="0"/>
        <w:keepLines w:val="0"/>
        <w:pageBreakBefore w:val="0"/>
        <w:widowControl/>
        <w:numPr>
          <w:ilvl w:val="0"/>
          <w:numId w:val="6"/>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协议</w:t>
      </w:r>
    </w:p>
    <w:p w14:paraId="0BB2499F">
      <w:pPr>
        <w:keepNext w:val="0"/>
        <w:keepLines w:val="0"/>
        <w:pageBreakBefore w:val="0"/>
        <w:widowControl/>
        <w:numPr>
          <w:ilvl w:val="0"/>
          <w:numId w:val="6"/>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招标文件（含澄清文件）</w:t>
      </w:r>
    </w:p>
    <w:p w14:paraId="3FEA2AF3">
      <w:pPr>
        <w:keepNext w:val="0"/>
        <w:keepLines w:val="0"/>
        <w:pageBreakBefore w:val="0"/>
        <w:widowControl/>
        <w:numPr>
          <w:ilvl w:val="0"/>
          <w:numId w:val="6"/>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投标文件</w:t>
      </w:r>
    </w:p>
    <w:p w14:paraId="30698980">
      <w:pPr>
        <w:keepNext w:val="0"/>
        <w:keepLines w:val="0"/>
        <w:pageBreakBefore w:val="0"/>
        <w:widowControl/>
        <w:kinsoku/>
        <w:wordWrap/>
        <w:overflowPunct/>
        <w:topLinePunct w:val="0"/>
        <w:autoSpaceDE/>
        <w:autoSpaceDN/>
        <w:bidi w:val="0"/>
        <w:snapToGrid/>
        <w:spacing w:line="312" w:lineRule="auto"/>
        <w:jc w:val="both"/>
        <w:textAlignment w:val="auto"/>
        <w:rPr>
          <w:rFonts w:hint="eastAsia" w:ascii="仿宋_GB2312" w:hAnsi="仿宋_GB2312" w:eastAsia="仿宋_GB2312" w:cs="仿宋_GB2312"/>
          <w:b/>
          <w:bCs/>
          <w:kern w:val="0"/>
          <w:sz w:val="21"/>
          <w:szCs w:val="21"/>
          <w:highlight w:val="none"/>
          <w:lang w:val="en-US" w:eastAsia="zh-CN"/>
        </w:rPr>
      </w:pPr>
      <w:r>
        <w:rPr>
          <w:rFonts w:hint="eastAsia" w:ascii="仿宋_GB2312" w:hAnsi="仿宋_GB2312" w:eastAsia="仿宋_GB2312" w:cs="仿宋_GB2312"/>
          <w:b/>
          <w:bCs/>
          <w:kern w:val="0"/>
          <w:sz w:val="21"/>
          <w:szCs w:val="21"/>
          <w:highlight w:val="none"/>
          <w:lang w:val="en-US" w:eastAsia="zh-CN"/>
        </w:rPr>
        <w:t>第十九条合同生效</w:t>
      </w:r>
    </w:p>
    <w:p w14:paraId="706EBB24">
      <w:pPr>
        <w:keepNext w:val="0"/>
        <w:keepLines w:val="0"/>
        <w:pageBreakBefore w:val="0"/>
        <w:widowControl/>
        <w:numPr>
          <w:ilvl w:val="0"/>
          <w:numId w:val="7"/>
        </w:numPr>
        <w:kinsoku/>
        <w:wordWrap/>
        <w:overflowPunct/>
        <w:topLinePunct w:val="0"/>
        <w:autoSpaceDE/>
        <w:autoSpaceDN/>
        <w:bidi w:val="0"/>
        <w:adjustRightInd/>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本合同须经甲、乙双方的法定代表人（授权代理人）在合同书上签字并加盖本单位公章后正式生效。</w:t>
      </w:r>
    </w:p>
    <w:p w14:paraId="7093E9D8">
      <w:pPr>
        <w:keepNext w:val="0"/>
        <w:keepLines w:val="0"/>
        <w:pageBreakBefore w:val="0"/>
        <w:widowControl/>
        <w:numPr>
          <w:ilvl w:val="0"/>
          <w:numId w:val="7"/>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合同生效后，甲、乙双方须严格执行本合同条款的规定，全面履行合同，违者按《中华人民共和国民法典》的有关规定承担相应责任。</w:t>
      </w:r>
    </w:p>
    <w:p w14:paraId="47281F36">
      <w:pPr>
        <w:keepNext w:val="0"/>
        <w:keepLines w:val="0"/>
        <w:pageBreakBefore w:val="0"/>
        <w:widowControl/>
        <w:numPr>
          <w:ilvl w:val="0"/>
          <w:numId w:val="7"/>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本合同正本一式二份，副本一式四份，均以中文书写。甲方执正本一份、副本二份；乙方执正本一份，副本一份；政府采购管理部门备案副本一份，具有同等法律效力。</w:t>
      </w:r>
    </w:p>
    <w:p w14:paraId="180CA1E3">
      <w:pPr>
        <w:keepNext w:val="0"/>
        <w:keepLines w:val="0"/>
        <w:pageBreakBefore w:val="0"/>
        <w:widowControl/>
        <w:numPr>
          <w:ilvl w:val="0"/>
          <w:numId w:val="7"/>
        </w:numPr>
        <w:kinsoku/>
        <w:wordWrap/>
        <w:overflowPunct/>
        <w:topLinePunct w:val="0"/>
        <w:autoSpaceDE/>
        <w:autoSpaceDN/>
        <w:bidi w:val="0"/>
        <w:adjustRightInd/>
        <w:snapToGrid/>
        <w:spacing w:line="312" w:lineRule="auto"/>
        <w:ind w:firstLine="400" w:firstLineChars="200"/>
        <w:jc w:val="left"/>
        <w:textAlignment w:val="auto"/>
        <w:rPr>
          <w:rFonts w:hint="default"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本合同如有未尽事宜，甲、乙双方协商解决。</w:t>
      </w:r>
    </w:p>
    <w:p w14:paraId="024B1EAF">
      <w:pPr>
        <w:keepNext w:val="0"/>
        <w:keepLines w:val="0"/>
        <w:pageBreakBefore w:val="0"/>
        <w:widowControl/>
        <w:numPr>
          <w:ilvl w:val="0"/>
          <w:numId w:val="0"/>
        </w:numPr>
        <w:kinsoku/>
        <w:wordWrap/>
        <w:overflowPunct/>
        <w:topLinePunct w:val="0"/>
        <w:autoSpaceDE/>
        <w:autoSpaceDN/>
        <w:bidi w:val="0"/>
        <w:adjustRightInd/>
        <w:snapToGrid/>
        <w:spacing w:line="312" w:lineRule="auto"/>
        <w:jc w:val="left"/>
        <w:textAlignment w:val="auto"/>
        <w:rPr>
          <w:rFonts w:hint="eastAsia" w:ascii="仿宋_GB2312" w:hAnsi="仿宋_GB2312" w:eastAsia="仿宋_GB2312" w:cs="仿宋_GB2312"/>
          <w:kern w:val="0"/>
          <w:sz w:val="20"/>
          <w:szCs w:val="20"/>
          <w:highlight w:val="none"/>
          <w:lang w:val="en-US" w:eastAsia="zh-CN"/>
        </w:rPr>
      </w:pPr>
    </w:p>
    <w:p w14:paraId="574106FD">
      <w:pPr>
        <w:keepNext w:val="0"/>
        <w:keepLines w:val="0"/>
        <w:pageBreakBefore w:val="0"/>
        <w:widowControl/>
        <w:numPr>
          <w:ilvl w:val="0"/>
          <w:numId w:val="0"/>
        </w:numPr>
        <w:kinsoku/>
        <w:wordWrap/>
        <w:overflowPunct/>
        <w:topLinePunct w:val="0"/>
        <w:autoSpaceDE/>
        <w:autoSpaceDN/>
        <w:bidi w:val="0"/>
        <w:adjustRightInd/>
        <w:snapToGrid/>
        <w:spacing w:line="312" w:lineRule="auto"/>
        <w:jc w:val="left"/>
        <w:textAlignment w:val="auto"/>
        <w:rPr>
          <w:rFonts w:hint="default" w:ascii="仿宋_GB2312" w:hAnsi="仿宋_GB2312" w:eastAsia="仿宋_GB2312" w:cs="仿宋_GB2312"/>
          <w:kern w:val="0"/>
          <w:sz w:val="20"/>
          <w:szCs w:val="20"/>
          <w:highlight w:val="none"/>
          <w:lang w:val="en-US" w:eastAsia="zh-CN"/>
        </w:rPr>
      </w:pPr>
    </w:p>
    <w:p w14:paraId="4C523FD2">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甲方单位(盖章)：                乙方单位(盖章)：</w:t>
      </w:r>
    </w:p>
    <w:p w14:paraId="2A3C5761">
      <w:pPr>
        <w:keepNext w:val="0"/>
        <w:keepLines w:val="0"/>
        <w:pageBreakBefore w:val="0"/>
        <w:widowControl/>
        <w:kinsoku/>
        <w:wordWrap/>
        <w:overflowPunct/>
        <w:topLinePunct w:val="0"/>
        <w:autoSpaceDE/>
        <w:autoSpaceDN/>
        <w:bidi w:val="0"/>
        <w:snapToGrid/>
        <w:spacing w:line="312" w:lineRule="auto"/>
        <w:ind w:firstLine="400" w:firstLineChars="20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名          称：              名          称：</w:t>
      </w:r>
    </w:p>
    <w:p w14:paraId="07C24FB6">
      <w:pPr>
        <w:keepNext w:val="0"/>
        <w:keepLines w:val="0"/>
        <w:pageBreakBefore w:val="0"/>
        <w:widowControl/>
        <w:kinsoku/>
        <w:wordWrap/>
        <w:overflowPunct/>
        <w:topLinePunct w:val="0"/>
        <w:autoSpaceDE/>
        <w:autoSpaceDN/>
        <w:bidi w:val="0"/>
        <w:snapToGrid/>
        <w:spacing w:line="312" w:lineRule="auto"/>
        <w:ind w:left="399" w:leftChars="190" w:firstLine="0" w:firstLineChars="0"/>
        <w:jc w:val="left"/>
        <w:textAlignment w:val="auto"/>
        <w:rPr>
          <w:rFonts w:hint="eastAsia" w:ascii="仿宋_GB2312" w:hAnsi="仿宋_GB2312" w:eastAsia="仿宋_GB2312" w:cs="仿宋_GB2312"/>
          <w:kern w:val="0"/>
          <w:sz w:val="20"/>
          <w:szCs w:val="20"/>
          <w:highlight w:val="none"/>
          <w:lang w:val="en-US" w:eastAsia="zh-CN"/>
        </w:rPr>
      </w:pPr>
      <w:r>
        <w:rPr>
          <w:rFonts w:hint="eastAsia" w:ascii="仿宋_GB2312" w:hAnsi="仿宋_GB2312" w:eastAsia="仿宋_GB2312" w:cs="仿宋_GB2312"/>
          <w:kern w:val="0"/>
          <w:sz w:val="20"/>
          <w:szCs w:val="20"/>
          <w:highlight w:val="none"/>
          <w:lang w:val="en-US" w:eastAsia="zh-CN"/>
        </w:rPr>
        <w:t>法定代表人/授权代表：         法定代表人/授权代表：    签约日期： 年月日                       签约日期： 年月日</w:t>
      </w:r>
    </w:p>
    <w:p w14:paraId="2254232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A2964D"/>
    <w:multiLevelType w:val="singleLevel"/>
    <w:tmpl w:val="ECA2964D"/>
    <w:lvl w:ilvl="0" w:tentative="0">
      <w:start w:val="1"/>
      <w:numFmt w:val="chineseCounting"/>
      <w:suff w:val="nothing"/>
      <w:lvlText w:val="（%1）"/>
      <w:lvlJc w:val="left"/>
      <w:rPr>
        <w:rFonts w:hint="eastAsia"/>
      </w:rPr>
    </w:lvl>
  </w:abstractNum>
  <w:abstractNum w:abstractNumId="1">
    <w:nsid w:val="13FB5FEB"/>
    <w:multiLevelType w:val="singleLevel"/>
    <w:tmpl w:val="13FB5FEB"/>
    <w:lvl w:ilvl="0" w:tentative="0">
      <w:start w:val="1"/>
      <w:numFmt w:val="chineseCounting"/>
      <w:suff w:val="space"/>
      <w:lvlText w:val="第%1条"/>
      <w:lvlJc w:val="left"/>
      <w:rPr>
        <w:rFonts w:hint="eastAsia"/>
      </w:rPr>
    </w:lvl>
  </w:abstractNum>
  <w:abstractNum w:abstractNumId="2">
    <w:nsid w:val="16036B89"/>
    <w:multiLevelType w:val="singleLevel"/>
    <w:tmpl w:val="16036B89"/>
    <w:lvl w:ilvl="0" w:tentative="0">
      <w:start w:val="1"/>
      <w:numFmt w:val="chineseCounting"/>
      <w:suff w:val="nothing"/>
      <w:lvlText w:val="（%1）"/>
      <w:lvlJc w:val="left"/>
      <w:rPr>
        <w:rFonts w:hint="eastAsia"/>
      </w:rPr>
    </w:lvl>
  </w:abstractNum>
  <w:abstractNum w:abstractNumId="3">
    <w:nsid w:val="1CAA956A"/>
    <w:multiLevelType w:val="singleLevel"/>
    <w:tmpl w:val="1CAA956A"/>
    <w:lvl w:ilvl="0" w:tentative="0">
      <w:start w:val="1"/>
      <w:numFmt w:val="chineseCounting"/>
      <w:suff w:val="nothing"/>
      <w:lvlText w:val="（%1）"/>
      <w:lvlJc w:val="left"/>
      <w:rPr>
        <w:rFonts w:hint="eastAsia"/>
      </w:rPr>
    </w:lvl>
  </w:abstractNum>
  <w:abstractNum w:abstractNumId="4">
    <w:nsid w:val="2ED9D009"/>
    <w:multiLevelType w:val="singleLevel"/>
    <w:tmpl w:val="2ED9D009"/>
    <w:lvl w:ilvl="0" w:tentative="0">
      <w:start w:val="1"/>
      <w:numFmt w:val="chineseCounting"/>
      <w:suff w:val="nothing"/>
      <w:lvlText w:val="（%1）"/>
      <w:lvlJc w:val="left"/>
      <w:rPr>
        <w:rFonts w:hint="eastAsia"/>
      </w:rPr>
    </w:lvl>
  </w:abstractNum>
  <w:abstractNum w:abstractNumId="5">
    <w:nsid w:val="322E497B"/>
    <w:multiLevelType w:val="singleLevel"/>
    <w:tmpl w:val="322E497B"/>
    <w:lvl w:ilvl="0" w:tentative="0">
      <w:start w:val="1"/>
      <w:numFmt w:val="chineseCounting"/>
      <w:suff w:val="nothing"/>
      <w:lvlText w:val="（%1）"/>
      <w:lvlJc w:val="left"/>
      <w:rPr>
        <w:rFonts w:hint="eastAsia"/>
      </w:rPr>
    </w:lvl>
  </w:abstractNum>
  <w:abstractNum w:abstractNumId="6">
    <w:nsid w:val="7517248C"/>
    <w:multiLevelType w:val="singleLevel"/>
    <w:tmpl w:val="7517248C"/>
    <w:lvl w:ilvl="0" w:tentative="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E27232"/>
    <w:rsid w:val="61E27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2026-08-03T11:02:00Z</dcterms:created>
  <dc:creator>ttt</dc:creator>
  <cp:lastModifiedBy>ttt</cp:lastModifiedBy>
  <dcterms:modified xsi:type="dcterms:W3CDTF">2026-08-03T11:03:51Z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3B915D483FE14A138F25AFAB9E0B877C_11</vt:lpwstr>
  </property>
  <property fmtid="{D5CDD505-2E9C-101B-9397-08002B2CF9AE}" pid="4" name="KSOTemplateDocerSaveRecord">
    <vt:lpwstr>eyJoZGlkIjoiNWJlMTZkNzkxYTk2ZWMzMDUxYmFlZDhhYTA3N2E0OTEiLCJ1c2VySWQiOiI3NTg1MTk3MDIifQ==</vt:lpwstr>
  </property>
</Properties>
</file>