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版本号：ZJZBSX-260610-011020260618001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多语种智能笔译实训设备采购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ZJZBSX-260610-0110</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多语种智能笔译实训设备采购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ZJZBSX-260610-0110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多语种智能笔译实训设备采购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多语种智能笔译实训设备采购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递交响应文件截止时间前6个月内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p>
      <w:pPr>
        <w:pStyle w:val="null3"/>
      </w:pPr>
      <w:r>
        <w:rPr>
          <w:rFonts w:ascii="仿宋_GB2312" w:hAnsi="仿宋_GB2312" w:cs="仿宋_GB2312" w:eastAsia="仿宋_GB2312"/>
        </w:rPr>
        <w:t>4、社会保障资金缴纳证明：供应商提供2025年07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07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陕西省西安市长安区郭杜街道教育科技产业开发区文苑南路6号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西安外国语大学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王佼、祝清江、赵薇、郭燕妮、刘婷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教学大屏、教学一体机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为合同金额的10%。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代理服务费收费标准：按照《招标代理服务收费管理暂行办法》（计价格[2002]1980号）和国家发改委颁发的《关于招标代理服务收费有关问题的通知》（发改办价格[2003]857号）文件下浮 15% 。如国家有新文件出台则按新文件执行。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联系电话：029-87888601-8013</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旨在构建一套集“教学、实训、评测、管理”于一体的多语种智能笔译实训体系，以AI技术驱动翻译教学改革。建设目标包括：一是打造智能化实训平台，深度集成神经网络机器翻译（NMT）与大语言模型（LLM）接口，支持通用及垂直领域的高质量辅助翻译与译后编辑（MTPE）训练，提升学生实战能力。二是构建多模态笔译教学资源库，汇聚政企真实项目案例与多语种平行语料，形成可持续更新的校本特色数据集。三是实现全流程智慧教学，覆盖“译前准备—译中协作—译后评估”全链条，利用AI自动评分与多维数据分析，为教师提供精准学情画像，为学生定制个性化学习路径。最终建成国内领先的智慧笔译实验室，培养适应人工智能时代的复合型高端笔译人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1,580,000.00</w:t>
      </w:r>
    </w:p>
    <w:p>
      <w:pPr>
        <w:pStyle w:val="null3"/>
      </w:pPr>
      <w:r>
        <w:rPr>
          <w:rFonts w:ascii="仿宋_GB2312" w:hAnsi="仿宋_GB2312" w:cs="仿宋_GB2312" w:eastAsia="仿宋_GB2312"/>
        </w:rPr>
        <w:t>采购包最高限价（元）: 1,580,000.00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多语种智能笔译实训设备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标的名称：多语种智能笔译实训设备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89"/>
              <w:gridCol w:w="1110"/>
              <w:gridCol w:w="552"/>
              <w:gridCol w:w="552"/>
              <w:gridCol w:w="673"/>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采购清单</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是否核心产品</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教学大屏</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多语种智能笔译实训设备教师终端</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多语种智能笔译实训设备学生终端</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音箱</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鹅颈话筒</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功放</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耳麦</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桌面充电器</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设备内置系统</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一、教学设备核心要求</w:t>
            </w:r>
          </w:p>
          <w:p>
            <w:pPr>
              <w:pStyle w:val="null3"/>
              <w:jc w:val="both"/>
            </w:pPr>
            <w:r>
              <w:rPr>
                <w:rFonts w:ascii="仿宋_GB2312" w:hAnsi="仿宋_GB2312" w:cs="仿宋_GB2312" w:eastAsia="仿宋_GB2312"/>
                <w:sz w:val="21"/>
                <w:b/>
              </w:rPr>
              <w:t>（一）教学大屏：</w:t>
            </w:r>
            <w:r>
              <w:rPr>
                <w:rFonts w:ascii="仿宋_GB2312" w:hAnsi="仿宋_GB2312" w:cs="仿宋_GB2312" w:eastAsia="仿宋_GB2312"/>
                <w:sz w:val="21"/>
              </w:rPr>
              <w:t>主要用于课堂授课展示、音视频展示、交互式教学、课堂互动与测评、拓展教学资源。</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显示尺寸：≥98英寸，触点数：≥20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亮度：≥400cd/㎡</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分辨率：≥3840*2160</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音频：内置喇叭，扩声系统总功率不低于30W，有效满足课堂视听需求，语言清晰度（STI-PA）≥0.75。</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输入接口：≥HDMI*2，≥USB*2</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整机内置WiFi5无线网卡，在Android/Windows下可实现Wi-Fi连接、AP热点发射及BT蓝牙连接功能。</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内置OPS电脑：内存≥8G、固态硬盘≥256G。</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整机屏幕采用DC直流背光源，保证显示画面无频闪，有效避免视觉疲劳，呵护师生用眼健康。</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整机支持纸质护眼模式，可以在任意通道任意画面任意软件所有显示内容下实现画面纹理的实时调整；支持纸质纹理：牛皮纸、素描纸、水彩纸、水纹纸、宣纸；支持透明度调节；支持色温调节。</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整机支持在节能状态下通过长按电源键进入还原界面，可点击屏幕选择安卓系统还原、OPS还原以及正常启动选项，具备提示和退出选项，还原操作时需通过密码验证，有效避免误操作。</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嵌入式Android操作系统下，白板支持将页面内容生成分享二维码，扫码后可在手机端进行查看及二次分享。</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支持大小笔功能：支持同一支笔，笔头、笔尾书写不同的颜色和粗细，且颜色粗细可自定义，实现讲解内容差异化标注。</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整机教学桌面支持画报轮播功能，通过主页快捷入口可自定义轮播内容、轮播间隔、播放时间等，助力文化建设。整机内置欢迎词应用，可自定义欢迎词或</w:t>
            </w:r>
            <w:r>
              <w:rPr>
                <w:rFonts w:ascii="仿宋_GB2312" w:hAnsi="仿宋_GB2312" w:cs="仿宋_GB2312" w:eastAsia="仿宋_GB2312"/>
                <w:sz w:val="21"/>
              </w:rPr>
              <w:t>选择使用默认模板，欢迎词可展示、替换背景、添加文字等。</w:t>
            </w:r>
          </w:p>
          <w:p>
            <w:pPr>
              <w:pStyle w:val="null3"/>
              <w:jc w:val="left"/>
            </w:pPr>
            <w:r>
              <w:rPr>
                <w:rFonts w:ascii="仿宋_GB2312" w:hAnsi="仿宋_GB2312" w:cs="仿宋_GB2312" w:eastAsia="仿宋_GB2312"/>
                <w:sz w:val="21"/>
                <w:b/>
              </w:rPr>
              <w:t>（二）教学一体机</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多语种智能笔译实训设备教师终端</w:t>
            </w:r>
            <w:r>
              <w:rPr>
                <w:rFonts w:ascii="仿宋_GB2312" w:hAnsi="仿宋_GB2312" w:cs="仿宋_GB2312" w:eastAsia="仿宋_GB2312"/>
                <w:sz w:val="21"/>
              </w:rPr>
              <w:t>：整机采用一体设计，支持主流操作系统；</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CPU：处理器主频≥2.1GHz、核心数≥20核，内存≥16GB，存储≥1TB SSD，显示器≥23.8寸；主机与子机通过局域网相互联通。</w:t>
            </w:r>
          </w:p>
          <w:p>
            <w:pPr>
              <w:pStyle w:val="null3"/>
              <w:jc w:val="left"/>
            </w:pPr>
            <w:r>
              <w:rPr>
                <w:rFonts w:ascii="仿宋_GB2312" w:hAnsi="仿宋_GB2312" w:cs="仿宋_GB2312" w:eastAsia="仿宋_GB2312"/>
                <w:sz w:val="21"/>
                <w:shd w:fill="FFFFFF" w:val="clear"/>
              </w:rPr>
              <w:t>16.</w:t>
            </w:r>
            <w:r>
              <w:rPr>
                <w:rFonts w:ascii="仿宋_GB2312" w:hAnsi="仿宋_GB2312" w:cs="仿宋_GB2312" w:eastAsia="仿宋_GB2312"/>
                <w:sz w:val="21"/>
                <w:shd w:fill="FFFFFF" w:val="clear"/>
              </w:rPr>
              <w:t>多语种智能笔译实训设备学生终端</w:t>
            </w:r>
            <w:r>
              <w:rPr>
                <w:rFonts w:ascii="仿宋_GB2312" w:hAnsi="仿宋_GB2312" w:cs="仿宋_GB2312" w:eastAsia="仿宋_GB2312"/>
                <w:sz w:val="21"/>
                <w:shd w:fill="FFFFFF" w:val="clear"/>
              </w:rPr>
              <w:t>：CPU：主频≥2.4GHz、核心数≥10核，内存≥16GB，存储≥512GB SSD，显示器≥21.5寸，分辨率≥1920×1080,亮度：≥250cd/㎡</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屏幕比例：16：9，屏幕刷新率60Hz。</w:t>
            </w:r>
          </w:p>
          <w:p>
            <w:pPr>
              <w:pStyle w:val="null3"/>
              <w:jc w:val="both"/>
            </w:pPr>
            <w:r>
              <w:rPr>
                <w:rFonts w:ascii="仿宋_GB2312" w:hAnsi="仿宋_GB2312" w:cs="仿宋_GB2312" w:eastAsia="仿宋_GB2312"/>
                <w:sz w:val="21"/>
                <w:b/>
              </w:rPr>
              <w:t>（三）辅助设备</w:t>
            </w:r>
          </w:p>
          <w:p>
            <w:pPr>
              <w:pStyle w:val="null3"/>
              <w:jc w:val="both"/>
            </w:pPr>
            <w:r>
              <w:rPr>
                <w:rFonts w:ascii="仿宋_GB2312" w:hAnsi="仿宋_GB2312" w:cs="仿宋_GB2312" w:eastAsia="仿宋_GB2312"/>
                <w:sz w:val="21"/>
                <w:b/>
              </w:rPr>
              <w:t>音箱：</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阻抗≤8Ω</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频响等同或优于60Hz~20KHz</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额定功率≥200W</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灵敏度≥96dB/W/M</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水平覆盖角≥80°，垂直覆盖角≥60°</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高音≥1.4""压缩高音单元×1</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低音≥8""低音×1"</w:t>
            </w:r>
          </w:p>
          <w:p>
            <w:pPr>
              <w:pStyle w:val="null3"/>
              <w:jc w:val="both"/>
            </w:pPr>
            <w:r>
              <w:rPr>
                <w:rFonts w:ascii="仿宋_GB2312" w:hAnsi="仿宋_GB2312" w:cs="仿宋_GB2312" w:eastAsia="仿宋_GB2312"/>
                <w:sz w:val="21"/>
                <w:b/>
              </w:rPr>
              <w:t>鹅颈话筒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设备具有话筒增益调节接口，可调节话筒增益。</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设备支持幻象供电、电池供电供电方式；电池支持连续发言≥60小时。</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设备底部具有电池电源拨动开关，可根据实际使用状态手动开关话筒电池电源。</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开麦具有指示灯提示，按键开启后，咪杆指示灯亮起。</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指向性：心形指向性；信噪比：≥80dB(A)；频率响应：等同或优于80Hz~16KHz；输出阻抗：≥75Ω；灵敏度：≥-38±2dB。</w:t>
            </w:r>
          </w:p>
          <w:p>
            <w:pPr>
              <w:pStyle w:val="null3"/>
              <w:jc w:val="both"/>
            </w:pPr>
            <w:r>
              <w:rPr>
                <w:rFonts w:ascii="仿宋_GB2312" w:hAnsi="仿宋_GB2312" w:cs="仿宋_GB2312" w:eastAsia="仿宋_GB2312"/>
                <w:sz w:val="21"/>
                <w:b/>
              </w:rPr>
              <w:t>功放：</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1U机箱设计，采用D类数字功放设计方案。</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标准XLR输入接口，和LINK输出口。</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电源采用开关电源技术，效率高，有效的抑制电源谐波。</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内置智能削峰限幅器，支持开机软启动，防止开机时向电网吸收大电流，干扰其它用电设备。</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具有：过压保护，欠压保护，过流保护，直流保护，输出短路保护，温控风扇等功能。</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输出功率：立体声@8Ω：≥350W×2；立体声@4Ω：≥600W×2。</w:t>
            </w:r>
          </w:p>
          <w:p>
            <w:pPr>
              <w:pStyle w:val="null3"/>
              <w:jc w:val="both"/>
            </w:pPr>
            <w:r>
              <w:rPr>
                <w:rFonts w:ascii="仿宋_GB2312" w:hAnsi="仿宋_GB2312" w:cs="仿宋_GB2312" w:eastAsia="仿宋_GB2312"/>
                <w:sz w:val="21"/>
                <w:b/>
              </w:rPr>
              <w:t>耳麦：</w:t>
            </w:r>
          </w:p>
          <w:p>
            <w:pPr>
              <w:pStyle w:val="null3"/>
              <w:jc w:val="both"/>
            </w:pPr>
            <w:r>
              <w:rPr>
                <w:rFonts w:ascii="仿宋_GB2312" w:hAnsi="仿宋_GB2312" w:cs="仿宋_GB2312" w:eastAsia="仿宋_GB2312"/>
                <w:sz w:val="21"/>
              </w:rPr>
              <w:t>34.头戴式耳机，全包式大耳罩，内置音</w:t>
            </w:r>
            <w:r>
              <w:rPr>
                <w:rFonts w:ascii="仿宋_GB2312" w:hAnsi="仿宋_GB2312" w:cs="仿宋_GB2312" w:eastAsia="仿宋_GB2312"/>
                <w:sz w:val="21"/>
              </w:rPr>
              <w:t>量调节开关，鹅颈高清单指向麦克风，3.5mm双插接口，缆线长度≥2m，人体工学设计轻量化机身。</w:t>
            </w:r>
          </w:p>
          <w:p>
            <w:pPr>
              <w:pStyle w:val="null3"/>
              <w:jc w:val="both"/>
              <w:outlineLvl w:val="3"/>
            </w:pPr>
            <w:r>
              <w:rPr>
                <w:rFonts w:ascii="仿宋_GB2312" w:hAnsi="仿宋_GB2312" w:cs="仿宋_GB2312" w:eastAsia="仿宋_GB2312"/>
                <w:sz w:val="21"/>
                <w:b/>
              </w:rPr>
              <w:t>桌面充电器：</w:t>
            </w:r>
          </w:p>
          <w:p>
            <w:pPr>
              <w:pStyle w:val="null3"/>
              <w:jc w:val="both"/>
              <w:outlineLvl w:val="3"/>
            </w:pPr>
            <w:r>
              <w:rPr>
                <w:rFonts w:ascii="仿宋_GB2312" w:hAnsi="仿宋_GB2312" w:cs="仿宋_GB2312" w:eastAsia="仿宋_GB2312"/>
                <w:sz w:val="21"/>
                <w:b/>
              </w:rPr>
              <w:t>35.</w:t>
            </w:r>
            <w:r>
              <w:rPr>
                <w:rFonts w:ascii="仿宋_GB2312" w:hAnsi="仿宋_GB2312" w:cs="仿宋_GB2312" w:eastAsia="仿宋_GB2312"/>
                <w:sz w:val="21"/>
                <w:b/>
              </w:rPr>
              <w:t>多口快充设备，包含6个5孔插座，1个TypeC充电口，3个USB充电口，自带2米电源线。</w:t>
            </w:r>
          </w:p>
          <w:p>
            <w:pPr>
              <w:pStyle w:val="null3"/>
              <w:jc w:val="both"/>
            </w:pPr>
            <w:r>
              <w:rPr>
                <w:rFonts w:ascii="仿宋_GB2312" w:hAnsi="仿宋_GB2312" w:cs="仿宋_GB2312" w:eastAsia="仿宋_GB2312"/>
                <w:sz w:val="21"/>
              </w:rPr>
              <w:t>36.</w:t>
            </w:r>
            <w:r>
              <w:rPr>
                <w:rFonts w:ascii="仿宋_GB2312" w:hAnsi="仿宋_GB2312" w:cs="仿宋_GB2312" w:eastAsia="仿宋_GB2312"/>
                <w:sz w:val="21"/>
              </w:rPr>
              <w:t>设备内置的系统架构须采用SaaS+云部署模式，确保师生不受地域和时间限制，随时随地通过互联网访问。客户端架构须基于B/S（浏览器/服务器）架构设计，用户无需在本地安装任何专用客户端软件，仅需通过主流浏览器即可使用全部功能。须全面支持主流浏览器,兼容移动端设备，适应多样化的教学场景。</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设备内置完善的权限控制系统，明确区分教师、学生、管理员、项目经理、译员、审校等不同角色，并为每个角色分配相应的功能权限，确保教学与项目管理的有序进行。</w:t>
            </w:r>
          </w:p>
          <w:p>
            <w:pPr>
              <w:pStyle w:val="null3"/>
              <w:jc w:val="both"/>
            </w:pPr>
            <w:r>
              <w:rPr>
                <w:rFonts w:ascii="仿宋_GB2312" w:hAnsi="仿宋_GB2312" w:cs="仿宋_GB2312" w:eastAsia="仿宋_GB2312"/>
                <w:sz w:val="21"/>
              </w:rPr>
              <w:t>38.</w:t>
            </w:r>
            <w:r>
              <w:rPr>
                <w:rFonts w:ascii="仿宋_GB2312" w:hAnsi="仿宋_GB2312" w:cs="仿宋_GB2312" w:eastAsia="仿宋_GB2312"/>
                <w:sz w:val="21"/>
              </w:rPr>
              <w:t>设备内置的系统支持对用户个人信息（如所属院校、姓名、手机号、邮箱等）进行管理，并提供账户安全设置功能。校方后台需具备组织结构管理（院系、专业、班级）、用户账号批量创建与管理（含重置密码、启用/禁用）、角色自定义及功能菜单配置等能力。</w:t>
            </w:r>
          </w:p>
          <w:p>
            <w:pPr>
              <w:pStyle w:val="null3"/>
              <w:jc w:val="both"/>
            </w:pPr>
            <w:r>
              <w:rPr>
                <w:rFonts w:ascii="仿宋_GB2312" w:hAnsi="仿宋_GB2312" w:cs="仿宋_GB2312" w:eastAsia="仿宋_GB2312"/>
                <w:sz w:val="21"/>
              </w:rPr>
              <w:t>39.</w:t>
            </w:r>
            <w:r>
              <w:rPr>
                <w:rFonts w:ascii="仿宋_GB2312" w:hAnsi="仿宋_GB2312" w:cs="仿宋_GB2312" w:eastAsia="仿宋_GB2312"/>
                <w:sz w:val="21"/>
              </w:rPr>
              <w:t>设备内置系统包含的系统不限制总账户数量，并发用户数需支持不低于500人同时在线稳定使用，以满足大规模教学和实训需求。</w:t>
            </w:r>
          </w:p>
          <w:p>
            <w:pPr>
              <w:pStyle w:val="null3"/>
              <w:jc w:val="both"/>
            </w:pPr>
            <w:r>
              <w:rPr>
                <w:rFonts w:ascii="仿宋_GB2312" w:hAnsi="仿宋_GB2312" w:cs="仿宋_GB2312" w:eastAsia="仿宋_GB2312"/>
                <w:sz w:val="21"/>
              </w:rPr>
              <w:t>40.</w:t>
            </w:r>
            <w:r>
              <w:rPr>
                <w:rFonts w:ascii="仿宋_GB2312" w:hAnsi="仿宋_GB2312" w:cs="仿宋_GB2312" w:eastAsia="仿宋_GB2312"/>
                <w:sz w:val="21"/>
              </w:rPr>
              <w:t>设备内置的系统必须具备主动的消息通知功能，能够将课程动态、翻译工作坊任务、作业发布与批改、自主训练提醒、考试安排等关键信息实时推送给相关学生。支持消息的批量标记（已读/未读）以及通过超链接直接跳转至对应功能模块。</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设备内置的系统须支持不少于40种语种的互译，包括但不限于：英文、日文、德文、法文、俄文、韩文、阿拉伯语、波斯语、丹麦语、波兰语、荷兰语、芬兰语、捷克语、菲律宾语、马来语、老挝语、孟加拉语、尼泊尔语、挪威语、葡萄牙语等。系统底层采用Unicode编码，有效保障多语种双向互译的准确性和稳定性。</w:t>
            </w:r>
          </w:p>
          <w:p>
            <w:pPr>
              <w:pStyle w:val="null3"/>
              <w:jc w:val="both"/>
            </w:pPr>
            <w:r>
              <w:rPr>
                <w:rFonts w:ascii="仿宋_GB2312" w:hAnsi="仿宋_GB2312" w:cs="仿宋_GB2312" w:eastAsia="仿宋_GB2312"/>
                <w:sz w:val="21"/>
                <w:b/>
              </w:rPr>
              <w:t>二、设备内置系统主要功能</w:t>
            </w:r>
          </w:p>
          <w:p>
            <w:pPr>
              <w:pStyle w:val="null3"/>
              <w:jc w:val="both"/>
            </w:pPr>
            <w:r>
              <w:rPr>
                <w:rFonts w:ascii="仿宋_GB2312" w:hAnsi="仿宋_GB2312" w:cs="仿宋_GB2312" w:eastAsia="仿宋_GB2312"/>
                <w:sz w:val="21"/>
                <w:b/>
              </w:rPr>
              <w:t>（一）教学与课堂管理</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支持完全脱离物理教室的远程在线笔译教学活动。教师仅需使用浏览器，即可将教学讲义画面实时同步到所有参与上课的学生端。教师能实时发布随堂练习（包括翻译题和选择题），学生在线作答并提交，系统自动收集答案并以列表形式展示给教师。教师可任意选取学生答案进行点评，并将点评界面同步分享给全班。教师可自由控制是否向学生展示标准答案。</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在教师发布翻译任务时，可自由选择开启或关闭机器翻译功能。</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教师可实时查看当前课程的所有学生信息，包括姓名、头像、在线状态、在线人数及课程总人数。</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教材需采用“章-节-课时”三级结构，支持教师同时创建和管理多本教材，并可邀请其他教师协作编写。</w:t>
            </w:r>
            <w:r>
              <w:rPr>
                <w:rFonts w:ascii="仿宋_GB2312" w:hAnsi="仿宋_GB2312" w:cs="仿宋_GB2312" w:eastAsia="仿宋_GB2312"/>
                <w:sz w:val="21"/>
                <w:b/>
              </w:rPr>
              <w:t>（该项参数须提供系统功能操作实物现场演示，不接受PPT、图片等其他形式的演示）</w:t>
            </w:r>
          </w:p>
          <w:p>
            <w:pPr>
              <w:pStyle w:val="null3"/>
              <w:jc w:val="both"/>
            </w:pPr>
            <w:r>
              <w:rPr>
                <w:rFonts w:ascii="仿宋_GB2312" w:hAnsi="仿宋_GB2312" w:cs="仿宋_GB2312" w:eastAsia="仿宋_GB2312"/>
                <w:sz w:val="21"/>
              </w:rPr>
              <w:t>46.</w:t>
            </w:r>
            <w:r>
              <w:rPr>
                <w:rFonts w:ascii="仿宋_GB2312" w:hAnsi="仿宋_GB2312" w:cs="仿宋_GB2312" w:eastAsia="仿宋_GB2312"/>
                <w:sz w:val="21"/>
              </w:rPr>
              <w:t>每个课时需集成教学讲义、随堂练习和随堂案例。讲义包含但不限于“讲义文件”和“在线讲义”两部分。讲义文件支持直接导入PPT、PPTX、PDF、DOC、DOCX、JPG、JPEG、BMP、PNG等多种格式文件，系统应能自动解析并在浏览器内预览。支持在浏览器中直接创建和编辑包含文字、图片、形状、线条、表格等元素的讲义，并可调整模板、添加动画，以PPT形式呈现和播放。</w:t>
            </w:r>
          </w:p>
          <w:p>
            <w:pPr>
              <w:pStyle w:val="null3"/>
              <w:jc w:val="both"/>
            </w:pPr>
            <w:r>
              <w:rPr>
                <w:rFonts w:ascii="仿宋_GB2312" w:hAnsi="仿宋_GB2312" w:cs="仿宋_GB2312" w:eastAsia="仿宋_GB2312"/>
                <w:sz w:val="21"/>
              </w:rPr>
              <w:t>47.</w:t>
            </w:r>
            <w:r>
              <w:rPr>
                <w:rFonts w:ascii="仿宋_GB2312" w:hAnsi="仿宋_GB2312" w:cs="仿宋_GB2312" w:eastAsia="仿宋_GB2312"/>
                <w:sz w:val="21"/>
              </w:rPr>
              <w:t>▲教师可调用课时中的案例库进行课堂讲演，并能动态控制是否向学生显示初译、定稿、分析、点</w:t>
            </w:r>
            <w:r>
              <w:rPr>
                <w:rFonts w:ascii="仿宋_GB2312" w:hAnsi="仿宋_GB2312" w:cs="仿宋_GB2312" w:eastAsia="仿宋_GB2312"/>
                <w:sz w:val="21"/>
              </w:rPr>
              <w:t>评等信息。（</w:t>
            </w:r>
            <w:r>
              <w:rPr>
                <w:rFonts w:ascii="仿宋_GB2312" w:hAnsi="仿宋_GB2312" w:cs="仿宋_GB2312" w:eastAsia="仿宋_GB2312"/>
                <w:sz w:val="21"/>
              </w:rPr>
              <w:t>需提供软件产品截图佐证材料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48.</w:t>
            </w:r>
            <w:r>
              <w:rPr>
                <w:rFonts w:ascii="仿宋_GB2312" w:hAnsi="仿宋_GB2312" w:cs="仿宋_GB2312" w:eastAsia="仿宋_GB2312"/>
                <w:sz w:val="21"/>
              </w:rPr>
              <w:t>▲教师可随时随地查看班级和学生个人成绩走势图、作业成绩布图等，支持数据导出。（需提供产品软件功能截图予以佐证）</w:t>
            </w:r>
          </w:p>
          <w:p>
            <w:pPr>
              <w:pStyle w:val="null3"/>
              <w:jc w:val="both"/>
            </w:pPr>
            <w:r>
              <w:rPr>
                <w:rFonts w:ascii="仿宋_GB2312" w:hAnsi="仿宋_GB2312" w:cs="仿宋_GB2312" w:eastAsia="仿宋_GB2312"/>
                <w:sz w:val="21"/>
                <w:b/>
              </w:rPr>
              <w:t>（二）课后作业与自主训练</w:t>
            </w:r>
          </w:p>
          <w:p>
            <w:pPr>
              <w:pStyle w:val="null3"/>
              <w:jc w:val="both"/>
            </w:pPr>
            <w:r>
              <w:rPr>
                <w:rFonts w:ascii="仿宋_GB2312" w:hAnsi="仿宋_GB2312" w:cs="仿宋_GB2312" w:eastAsia="仿宋_GB2312"/>
                <w:sz w:val="21"/>
              </w:rPr>
              <w:t>49.</w:t>
            </w:r>
            <w:r>
              <w:rPr>
                <w:rFonts w:ascii="仿宋_GB2312" w:hAnsi="仿宋_GB2312" w:cs="仿宋_GB2312" w:eastAsia="仿宋_GB2312"/>
                <w:sz w:val="21"/>
              </w:rPr>
              <w:t>教师可在线布置包含多道题目的翻译作业，设定名称、截止时间、描述等。并实时监控整个班级及各小组的作业完成进度。</w:t>
            </w:r>
          </w:p>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教师批改译文时可选择全文批改、批量批改等批改模式。</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教师可对译文进行批量的评语、记录翻译错误，并用不同颜色体现，方便学生查看。</w:t>
            </w:r>
            <w:r>
              <w:rPr>
                <w:rFonts w:ascii="仿宋_GB2312" w:hAnsi="仿宋_GB2312" w:cs="仿宋_GB2312" w:eastAsia="仿宋_GB2312"/>
                <w:sz w:val="21"/>
                <w:b/>
              </w:rPr>
              <w:t>（该项参数须提供系统功能操作实物现场演示，不接受PPT、图片等其他形式的演示）</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须提供多种形式的作业批改功能，包括AI智能批改、老师批改、助教批改、学生互评、学生众评等多维度作业批改模式。</w:t>
            </w:r>
            <w:r>
              <w:rPr>
                <w:rFonts w:ascii="仿宋_GB2312" w:hAnsi="仿宋_GB2312" w:cs="仿宋_GB2312" w:eastAsia="仿宋_GB2312"/>
                <w:sz w:val="21"/>
                <w:b/>
              </w:rPr>
              <w:t>（该项参数须提供系统功能操作实物现场演示，不接受PPT、图片等其他形式的演示）</w:t>
            </w:r>
          </w:p>
          <w:p>
            <w:pPr>
              <w:pStyle w:val="null3"/>
              <w:jc w:val="both"/>
            </w:pPr>
            <w:r>
              <w:rPr>
                <w:rFonts w:ascii="仿宋_GB2312" w:hAnsi="仿宋_GB2312" w:cs="仿宋_GB2312" w:eastAsia="仿宋_GB2312"/>
                <w:sz w:val="21"/>
              </w:rPr>
              <w:t>53.</w:t>
            </w:r>
            <w:r>
              <w:rPr>
                <w:rFonts w:ascii="仿宋_GB2312" w:hAnsi="仿宋_GB2312" w:cs="仿宋_GB2312" w:eastAsia="仿宋_GB2312"/>
                <w:sz w:val="21"/>
              </w:rPr>
              <w:t>须提供不少于三种AI大模型对学生的译文进行点评和修订，包括但不限于DeepSeek、Kimi、豆包等。</w:t>
            </w:r>
            <w:r>
              <w:rPr>
                <w:rFonts w:ascii="仿宋_GB2312" w:hAnsi="仿宋_GB2312" w:cs="仿宋_GB2312" w:eastAsia="仿宋_GB2312"/>
                <w:sz w:val="21"/>
                <w:b/>
              </w:rPr>
              <w:t>（该项参数须提供系统功能操作实物现场演示，不接受PPT、图片等其他形式的演示）</w:t>
            </w:r>
          </w:p>
          <w:p>
            <w:pPr>
              <w:pStyle w:val="null3"/>
              <w:jc w:val="both"/>
            </w:pPr>
            <w:r>
              <w:rPr>
                <w:rFonts w:ascii="仿宋_GB2312" w:hAnsi="仿宋_GB2312" w:cs="仿宋_GB2312" w:eastAsia="仿宋_GB2312"/>
                <w:sz w:val="21"/>
              </w:rPr>
              <w:t>54.</w:t>
            </w:r>
            <w:r>
              <w:rPr>
                <w:rFonts w:ascii="仿宋_GB2312" w:hAnsi="仿宋_GB2312" w:cs="仿宋_GB2312" w:eastAsia="仿宋_GB2312"/>
                <w:sz w:val="21"/>
              </w:rPr>
              <w:t>须具有AI自动分析学生译文功能，可逐句对译文进行分析，自动查找学生译文的低错、漏译、术语表达、语法、与参考译文相似度等错误。同时给出合理化建议，以方便学生查找自身译文的不足。</w:t>
            </w:r>
            <w:r>
              <w:rPr>
                <w:rFonts w:ascii="仿宋_GB2312" w:hAnsi="仿宋_GB2312" w:cs="仿宋_GB2312" w:eastAsia="仿宋_GB2312"/>
                <w:sz w:val="21"/>
                <w:b/>
              </w:rPr>
              <w:t>（该项参数须提供系统功能操作实物现场演示，不接受PPT、图片等其他形式的演示）</w:t>
            </w:r>
          </w:p>
          <w:p>
            <w:pPr>
              <w:pStyle w:val="null3"/>
              <w:jc w:val="both"/>
            </w:pPr>
            <w:r>
              <w:rPr>
                <w:rFonts w:ascii="仿宋_GB2312" w:hAnsi="仿宋_GB2312" w:cs="仿宋_GB2312" w:eastAsia="仿宋_GB2312"/>
                <w:sz w:val="21"/>
              </w:rPr>
              <w:t>55.</w:t>
            </w:r>
            <w:r>
              <w:rPr>
                <w:rFonts w:ascii="仿宋_GB2312" w:hAnsi="仿宋_GB2312" w:cs="仿宋_GB2312" w:eastAsia="仿宋_GB2312"/>
                <w:sz w:val="21"/>
              </w:rPr>
              <w:t>须提供三屏批改模式，既左边显示原文、中间显示译文，右边显示对比译文（即指定某一个学生翻译结果进行对比）或者右边显示参考译文。通过多种评分批改模式辅助老师作业批改，既可以提高批改效率，也可用于课堂教学。</w:t>
            </w:r>
            <w:r>
              <w:rPr>
                <w:rFonts w:ascii="仿宋_GB2312" w:hAnsi="仿宋_GB2312" w:cs="仿宋_GB2312" w:eastAsia="仿宋_GB2312"/>
                <w:sz w:val="21"/>
                <w:b/>
              </w:rPr>
              <w:t>（该项参数须提供系统功能操作实物现场演示，不接受PPT、图片等其他形式的演示）</w:t>
            </w:r>
          </w:p>
          <w:p>
            <w:pPr>
              <w:pStyle w:val="null3"/>
              <w:jc w:val="both"/>
            </w:pPr>
            <w:r>
              <w:rPr>
                <w:rFonts w:ascii="仿宋_GB2312" w:hAnsi="仿宋_GB2312" w:cs="仿宋_GB2312" w:eastAsia="仿宋_GB2312"/>
                <w:sz w:val="21"/>
              </w:rPr>
              <w:t>56.</w:t>
            </w:r>
            <w:r>
              <w:rPr>
                <w:rFonts w:ascii="仿宋_GB2312" w:hAnsi="仿宋_GB2312" w:cs="仿宋_GB2312" w:eastAsia="仿宋_GB2312"/>
                <w:sz w:val="21"/>
              </w:rPr>
              <w:t>须内置翻译质量评估模型，包含但不限于：错译、多译/冗余、漏译/略译、一致性问题、数字/数值错误、术语翻译错误；语法错误、逻辑错误、表述不畅、拼写错误、措辞不当；标点错误、约定条款错误等。</w:t>
            </w:r>
          </w:p>
          <w:p>
            <w:pPr>
              <w:pStyle w:val="null3"/>
              <w:jc w:val="both"/>
            </w:pPr>
            <w:r>
              <w:rPr>
                <w:rFonts w:ascii="仿宋_GB2312" w:hAnsi="仿宋_GB2312" w:cs="仿宋_GB2312" w:eastAsia="仿宋_GB2312"/>
                <w:sz w:val="21"/>
              </w:rPr>
              <w:t>57.</w:t>
            </w:r>
            <w:r>
              <w:rPr>
                <w:rFonts w:ascii="仿宋_GB2312" w:hAnsi="仿宋_GB2312" w:cs="仿宋_GB2312" w:eastAsia="仿宋_GB2312"/>
                <w:sz w:val="21"/>
              </w:rPr>
              <w:t>▲支持教师批量导出学生作业，可选择导出目标文件、双语对照文件、带修订批注文件等多种格式。（需提供产品软件功能截图予以佐证）</w:t>
            </w:r>
          </w:p>
          <w:p>
            <w:pPr>
              <w:pStyle w:val="null3"/>
              <w:jc w:val="both"/>
            </w:pPr>
            <w:r>
              <w:rPr>
                <w:rFonts w:ascii="仿宋_GB2312" w:hAnsi="仿宋_GB2312" w:cs="仿宋_GB2312" w:eastAsia="仿宋_GB2312"/>
                <w:sz w:val="21"/>
              </w:rPr>
              <w:t>58.</w:t>
            </w:r>
            <w:r>
              <w:rPr>
                <w:rFonts w:ascii="仿宋_GB2312" w:hAnsi="仿宋_GB2312" w:cs="仿宋_GB2312" w:eastAsia="仿宋_GB2312"/>
                <w:sz w:val="21"/>
              </w:rPr>
              <w:t>▲教师可为学生设定包含训练次数、训练量（字数）、点评次数三个维度的训练指标设定。（需提供产品软件功能截图予以佐证）</w:t>
            </w:r>
          </w:p>
          <w:p>
            <w:pPr>
              <w:pStyle w:val="null3"/>
              <w:jc w:val="both"/>
            </w:pPr>
            <w:r>
              <w:rPr>
                <w:rFonts w:ascii="仿宋_GB2312" w:hAnsi="仿宋_GB2312" w:cs="仿宋_GB2312" w:eastAsia="仿宋_GB2312"/>
                <w:sz w:val="21"/>
              </w:rPr>
              <w:t>59.</w:t>
            </w:r>
            <w:r>
              <w:rPr>
                <w:rFonts w:ascii="仿宋_GB2312" w:hAnsi="仿宋_GB2312" w:cs="仿宋_GB2312" w:eastAsia="仿宋_GB2312"/>
                <w:sz w:val="21"/>
              </w:rPr>
              <w:t>须支持随机出题（可按难度、领域、语言筛选）和从题库选题。亦支持传本地题目进行训练。</w:t>
            </w:r>
          </w:p>
          <w:p>
            <w:pPr>
              <w:pStyle w:val="null3"/>
              <w:jc w:val="both"/>
            </w:pPr>
            <w:r>
              <w:rPr>
                <w:rFonts w:ascii="仿宋_GB2312" w:hAnsi="仿宋_GB2312" w:cs="仿宋_GB2312" w:eastAsia="仿宋_GB2312"/>
                <w:sz w:val="21"/>
              </w:rPr>
              <w:t>60.</w:t>
            </w:r>
            <w:r>
              <w:rPr>
                <w:rFonts w:ascii="仿宋_GB2312" w:hAnsi="仿宋_GB2312" w:cs="仿宋_GB2312" w:eastAsia="仿宋_GB2312"/>
                <w:sz w:val="21"/>
              </w:rPr>
              <w:t>须支持对翻译题进行智能解析和分句，便于操作和批改。支持基于QA模型的批注（好句、一般、差句），并支持学生间的训练互评，教师可实时监控互评效果。</w:t>
            </w:r>
          </w:p>
          <w:p>
            <w:pPr>
              <w:pStyle w:val="null3"/>
              <w:jc w:val="both"/>
            </w:pPr>
            <w:r>
              <w:rPr>
                <w:rFonts w:ascii="仿宋_GB2312" w:hAnsi="仿宋_GB2312" w:cs="仿宋_GB2312" w:eastAsia="仿宋_GB2312"/>
                <w:sz w:val="21"/>
                <w:b/>
              </w:rPr>
              <w:t>（三）考试与翻译实训</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支持教师自定义试卷模板（总分、题型、数量、单题分值）和创建具体试卷。支持创建笔译在线考试，指定主题、时间、时长、参与学生等。考试过程采用流式布局，减少页面跳转。教师可实时监控学生在线状态。</w:t>
            </w:r>
          </w:p>
          <w:p>
            <w:pPr>
              <w:pStyle w:val="null3"/>
              <w:jc w:val="both"/>
            </w:pPr>
            <w:r>
              <w:rPr>
                <w:rFonts w:ascii="仿宋_GB2312" w:hAnsi="仿宋_GB2312" w:cs="仿宋_GB2312" w:eastAsia="仿宋_GB2312"/>
                <w:sz w:val="21"/>
              </w:rPr>
              <w:t>62.</w:t>
            </w:r>
            <w:r>
              <w:rPr>
                <w:rFonts w:ascii="仿宋_GB2312" w:hAnsi="仿宋_GB2312" w:cs="仿宋_GB2312" w:eastAsia="仿宋_GB2312"/>
                <w:sz w:val="21"/>
              </w:rPr>
              <w:t>支持客观题自动批改。主观题支持普通阅卷、批量阅卷等不少于两种阅卷模式：</w:t>
            </w:r>
          </w:p>
          <w:p>
            <w:pPr>
              <w:pStyle w:val="null3"/>
              <w:jc w:val="both"/>
            </w:pPr>
            <w:r>
              <w:rPr>
                <w:rFonts w:ascii="仿宋_GB2312" w:hAnsi="仿宋_GB2312" w:cs="仿宋_GB2312" w:eastAsia="仿宋_GB2312"/>
                <w:sz w:val="21"/>
              </w:rPr>
              <w:t>63.</w:t>
            </w:r>
            <w:r>
              <w:rPr>
                <w:rFonts w:ascii="仿宋_GB2312" w:hAnsi="仿宋_GB2312" w:cs="仿宋_GB2312" w:eastAsia="仿宋_GB2312"/>
                <w:sz w:val="21"/>
              </w:rPr>
              <w:t>能够自动生成考试成绩统计报告，包括选择题错误人数分布图（显示错误率最高的前十题）和翻译题错误率分布图（基于QA模型按大类/小类统计）。</w:t>
            </w:r>
          </w:p>
          <w:p>
            <w:pPr>
              <w:pStyle w:val="null3"/>
              <w:jc w:val="both"/>
            </w:pPr>
            <w:r>
              <w:rPr>
                <w:rFonts w:ascii="仿宋_GB2312" w:hAnsi="仿宋_GB2312" w:cs="仿宋_GB2312" w:eastAsia="仿宋_GB2312"/>
                <w:sz w:val="21"/>
              </w:rPr>
              <w:t>64.</w:t>
            </w:r>
            <w:r>
              <w:rPr>
                <w:rFonts w:ascii="仿宋_GB2312" w:hAnsi="仿宋_GB2312" w:cs="仿宋_GB2312" w:eastAsia="仿宋_GB2312"/>
                <w:sz w:val="21"/>
              </w:rPr>
              <w:t>支持创建和发布翻译项目，设定名称、截止时间、源/目标语言、领域、描述、任务文件、参考资料等。</w:t>
            </w:r>
          </w:p>
          <w:p>
            <w:pPr>
              <w:pStyle w:val="null3"/>
              <w:jc w:val="both"/>
            </w:pPr>
            <w:r>
              <w:rPr>
                <w:rFonts w:ascii="仿宋_GB2312" w:hAnsi="仿宋_GB2312" w:cs="仿宋_GB2312" w:eastAsia="仿宋_GB2312"/>
                <w:sz w:val="21"/>
              </w:rPr>
              <w:t>65.</w:t>
            </w:r>
            <w:r>
              <w:rPr>
                <w:rFonts w:ascii="仿宋_GB2312" w:hAnsi="仿宋_GB2312" w:cs="仿宋_GB2312" w:eastAsia="仿宋_GB2312"/>
                <w:sz w:val="21"/>
              </w:rPr>
              <w:t>▲支持自定义项目流程，如“仅翻译”、“翻译+审校”、“翻译+审校+通读”等，贴合真实行业需求。（需提供产品软件功能截图予以佐证）</w:t>
            </w:r>
          </w:p>
          <w:p>
            <w:pPr>
              <w:pStyle w:val="null3"/>
              <w:jc w:val="both"/>
            </w:pPr>
            <w:r>
              <w:rPr>
                <w:rFonts w:ascii="仿宋_GB2312" w:hAnsi="仿宋_GB2312" w:cs="仿宋_GB2312" w:eastAsia="仿宋_GB2312"/>
                <w:sz w:val="21"/>
              </w:rPr>
              <w:t>66.</w:t>
            </w:r>
            <w:r>
              <w:rPr>
                <w:rFonts w:ascii="仿宋_GB2312" w:hAnsi="仿宋_GB2312" w:cs="仿宋_GB2312" w:eastAsia="仿宋_GB2312"/>
                <w:sz w:val="21"/>
              </w:rPr>
              <w:t>语言资产集成：在项目创建时，可引入一个或多个记忆库和术语库，并设定最低匹配率。术语库可设为QA术语库用于一致性检查。</w:t>
            </w:r>
          </w:p>
          <w:p>
            <w:pPr>
              <w:pStyle w:val="null3"/>
              <w:jc w:val="both"/>
            </w:pPr>
            <w:r>
              <w:rPr>
                <w:rFonts w:ascii="仿宋_GB2312" w:hAnsi="仿宋_GB2312" w:cs="仿宋_GB2312" w:eastAsia="仿宋_GB2312"/>
                <w:sz w:val="21"/>
              </w:rPr>
              <w:t>67.</w:t>
            </w:r>
            <w:r>
              <w:rPr>
                <w:rFonts w:ascii="仿宋_GB2312" w:hAnsi="仿宋_GB2312" w:cs="仿宋_GB2312" w:eastAsia="仿宋_GB2312"/>
                <w:sz w:val="21"/>
              </w:rPr>
              <w:t>支持基于记忆库和机器翻译引擎进行预翻译，并可将100%匹配句段设为已确认状态。支持配置全面的翻译质量保证（QA）选项，包括文本单元、句段、长度、标点、数字、禁用词、商标、语法、术语等验证，并可按严重级别分类。</w:t>
            </w:r>
          </w:p>
          <w:p>
            <w:pPr>
              <w:pStyle w:val="null3"/>
              <w:jc w:val="both"/>
            </w:pPr>
            <w:r>
              <w:rPr>
                <w:rFonts w:ascii="仿宋_GB2312" w:hAnsi="仿宋_GB2312" w:cs="仿宋_GB2312" w:eastAsia="仿宋_GB2312"/>
                <w:sz w:val="21"/>
              </w:rPr>
              <w:t>68.</w:t>
            </w:r>
            <w:r>
              <w:rPr>
                <w:rFonts w:ascii="仿宋_GB2312" w:hAnsi="仿宋_GB2312" w:cs="仿宋_GB2312" w:eastAsia="仿宋_GB2312"/>
                <w:sz w:val="21"/>
              </w:rPr>
              <w:t>支持在一个项目中发布多个任务文件，兼容数十种专业文件格式。支持以句段为单位拆分子任务，并指派给不同的翻译、审校、通读人员。支持全员随机分配任务。</w:t>
            </w:r>
          </w:p>
          <w:p>
            <w:pPr>
              <w:pStyle w:val="null3"/>
              <w:jc w:val="both"/>
            </w:pPr>
            <w:r>
              <w:rPr>
                <w:rFonts w:ascii="仿宋_GB2312" w:hAnsi="仿宋_GB2312" w:cs="仿宋_GB2312" w:eastAsia="仿宋_GB2312"/>
                <w:sz w:val="21"/>
              </w:rPr>
              <w:t>69.</w:t>
            </w:r>
            <w:r>
              <w:rPr>
                <w:rFonts w:ascii="仿宋_GB2312" w:hAnsi="仿宋_GB2312" w:cs="仿宋_GB2312" w:eastAsia="仿宋_GB2312"/>
                <w:sz w:val="21"/>
              </w:rPr>
              <w:t>提供专业的CAT（计算机辅助翻译）编辑界面，以原文-译文一一对照形式展示，支持原文格式显示、搜索、句段级译审同步（多人实时协同）、在线修订、句段打回等功能。</w:t>
            </w:r>
          </w:p>
          <w:p>
            <w:pPr>
              <w:pStyle w:val="null3"/>
              <w:jc w:val="both"/>
            </w:pPr>
            <w:r>
              <w:rPr>
                <w:rFonts w:ascii="仿宋_GB2312" w:hAnsi="仿宋_GB2312" w:cs="仿宋_GB2312" w:eastAsia="仿宋_GB2312"/>
                <w:sz w:val="21"/>
              </w:rPr>
              <w:t>70.</w:t>
            </w:r>
            <w:r>
              <w:rPr>
                <w:rFonts w:ascii="仿宋_GB2312" w:hAnsi="仿宋_GB2312" w:cs="仿宋_GB2312" w:eastAsia="仿宋_GB2312"/>
                <w:sz w:val="21"/>
              </w:rPr>
              <w:t>在翻译过程中，须实时匹配并推荐记忆库、机器翻译、术语库的结果，双击即可填充。支持手动添加术语（支持多子条目）和为分句添加备注。</w:t>
            </w:r>
          </w:p>
          <w:p>
            <w:pPr>
              <w:pStyle w:val="null3"/>
              <w:jc w:val="both"/>
            </w:pPr>
            <w:r>
              <w:rPr>
                <w:rFonts w:ascii="仿宋_GB2312" w:hAnsi="仿宋_GB2312" w:cs="仿宋_GB2312" w:eastAsia="仿宋_GB2312"/>
                <w:sz w:val="21"/>
              </w:rPr>
              <w:t>71.</w:t>
            </w:r>
            <w:r>
              <w:rPr>
                <w:rFonts w:ascii="仿宋_GB2312" w:hAnsi="仿宋_GB2312" w:cs="仿宋_GB2312" w:eastAsia="仿宋_GB2312"/>
                <w:sz w:val="21"/>
              </w:rPr>
              <w:t>支持翻译记忆库（TM）和术语库（TB）的创建、导入（TMX, SDLTM, XLSX; TBX, XLSX）、导出、编辑和权限管理（私有、共享只读、共享可改）。</w:t>
            </w:r>
          </w:p>
          <w:p>
            <w:pPr>
              <w:pStyle w:val="null3"/>
              <w:jc w:val="both"/>
            </w:pPr>
            <w:r>
              <w:rPr>
                <w:rFonts w:ascii="仿宋_GB2312" w:hAnsi="仿宋_GB2312" w:cs="仿宋_GB2312" w:eastAsia="仿宋_GB2312"/>
                <w:sz w:val="21"/>
              </w:rPr>
              <w:t>72.</w:t>
            </w:r>
            <w:r>
              <w:rPr>
                <w:rFonts w:ascii="仿宋_GB2312" w:hAnsi="仿宋_GB2312" w:cs="仿宋_GB2312" w:eastAsia="仿宋_GB2312"/>
                <w:sz w:val="21"/>
              </w:rPr>
              <w:t>须具备自动提取术语功能，可自动提取原文、译文中的术语。用户可通过词频、原文长度、译文长度、原文内容、译文内容对术语进行筛选。支持查看术语上下文内容，支持编辑术语译文，支持将提取后的术语表导出为tbx、xlsx文件。</w:t>
            </w:r>
            <w:r>
              <w:rPr>
                <w:rFonts w:ascii="仿宋_GB2312" w:hAnsi="仿宋_GB2312" w:cs="仿宋_GB2312" w:eastAsia="仿宋_GB2312"/>
                <w:sz w:val="21"/>
                <w:b/>
              </w:rPr>
              <w:t>（该项参数须提供系统功能操作实物现场演示，不接受PPT、图片等其他形式的演示）</w:t>
            </w:r>
          </w:p>
          <w:p>
            <w:pPr>
              <w:pStyle w:val="null3"/>
              <w:jc w:val="both"/>
            </w:pPr>
            <w:r>
              <w:rPr>
                <w:rFonts w:ascii="仿宋_GB2312" w:hAnsi="仿宋_GB2312" w:cs="仿宋_GB2312" w:eastAsia="仿宋_GB2312"/>
                <w:sz w:val="21"/>
              </w:rPr>
              <w:t>73.</w:t>
            </w:r>
            <w:r>
              <w:rPr>
                <w:rFonts w:ascii="仿宋_GB2312" w:hAnsi="仿宋_GB2312" w:cs="仿宋_GB2312" w:eastAsia="仿宋_GB2312"/>
                <w:sz w:val="21"/>
              </w:rPr>
              <w:t>▲提供译稿标准化导出功能，支持纯译文（保留原格式）、段段对照（上下结构）、并列对照（左右表格）等多种译后稿一键导出，降低译后排版工作量。（需提供产品软件功能截图予以佐证）</w:t>
            </w:r>
          </w:p>
          <w:p>
            <w:pPr>
              <w:pStyle w:val="null3"/>
              <w:jc w:val="both"/>
            </w:pPr>
            <w:r>
              <w:rPr>
                <w:rFonts w:ascii="仿宋_GB2312" w:hAnsi="仿宋_GB2312" w:cs="仿宋_GB2312" w:eastAsia="仿宋_GB2312"/>
                <w:sz w:val="21"/>
              </w:rPr>
              <w:t>74.</w:t>
            </w:r>
            <w:r>
              <w:rPr>
                <w:rFonts w:ascii="仿宋_GB2312" w:hAnsi="仿宋_GB2312" w:cs="仿宋_GB2312" w:eastAsia="仿宋_GB2312"/>
                <w:sz w:val="21"/>
              </w:rPr>
              <w:t>支持老师与学生或学生互相之间可自由组合成团队，学生可模拟翻译公司的核心岗位（项目经理、译员、审校），领取实训任务，进行团队模拟训练，增强学生对项目经理、译员、审校岗位的了解。</w:t>
            </w:r>
          </w:p>
          <w:p>
            <w:pPr>
              <w:pStyle w:val="null3"/>
              <w:jc w:val="both"/>
            </w:pPr>
            <w:r>
              <w:rPr>
                <w:rFonts w:ascii="仿宋_GB2312" w:hAnsi="仿宋_GB2312" w:cs="仿宋_GB2312" w:eastAsia="仿宋_GB2312"/>
                <w:sz w:val="21"/>
                <w:b/>
              </w:rPr>
              <w:t>（四）机器翻译引擎与大语言模型</w:t>
            </w:r>
          </w:p>
          <w:p>
            <w:pPr>
              <w:pStyle w:val="null3"/>
              <w:jc w:val="both"/>
            </w:pPr>
            <w:r>
              <w:rPr>
                <w:rFonts w:ascii="仿宋_GB2312" w:hAnsi="仿宋_GB2312" w:cs="仿宋_GB2312" w:eastAsia="仿宋_GB2312"/>
                <w:sz w:val="21"/>
              </w:rPr>
              <w:t>75.</w:t>
            </w:r>
            <w:r>
              <w:rPr>
                <w:rFonts w:ascii="仿宋_GB2312" w:hAnsi="仿宋_GB2312" w:cs="仿宋_GB2312" w:eastAsia="仿宋_GB2312"/>
                <w:sz w:val="21"/>
              </w:rPr>
              <w:t>在创建项目或进行译文处理时，平台须提供主流大语言模型选项，包含但不限于通义千问、豆包大模型、智谱AI、DeepSeek、Kimi等大模型。</w:t>
            </w:r>
          </w:p>
          <w:p>
            <w:pPr>
              <w:pStyle w:val="null3"/>
              <w:jc w:val="both"/>
            </w:pPr>
            <w:r>
              <w:rPr>
                <w:rFonts w:ascii="仿宋_GB2312" w:hAnsi="仿宋_GB2312" w:cs="仿宋_GB2312" w:eastAsia="仿宋_GB2312"/>
                <w:sz w:val="21"/>
              </w:rPr>
              <w:t>76.</w:t>
            </w:r>
            <w:r>
              <w:rPr>
                <w:rFonts w:ascii="仿宋_GB2312" w:hAnsi="仿宋_GB2312" w:cs="仿宋_GB2312" w:eastAsia="仿宋_GB2312"/>
                <w:sz w:val="21"/>
              </w:rPr>
              <w:t>须具备AI自动分析学生译文的功能，能逐句查找低错、漏译、术语、语法等问题，并给出合理化建议。</w:t>
            </w:r>
          </w:p>
          <w:p>
            <w:pPr>
              <w:pStyle w:val="null3"/>
              <w:jc w:val="both"/>
            </w:pPr>
            <w:r>
              <w:rPr>
                <w:rFonts w:ascii="仿宋_GB2312" w:hAnsi="仿宋_GB2312" w:cs="仿宋_GB2312" w:eastAsia="仿宋_GB2312"/>
                <w:sz w:val="21"/>
              </w:rPr>
              <w:t>77.</w:t>
            </w:r>
            <w:r>
              <w:rPr>
                <w:rFonts w:ascii="仿宋_GB2312" w:hAnsi="仿宋_GB2312" w:cs="仿宋_GB2312" w:eastAsia="仿宋_GB2312"/>
                <w:sz w:val="21"/>
              </w:rPr>
              <w:t>须支持在项目中自由配置并启用多种主流机器翻译引擎，包括Deepseek、百度、腾讯、小牛、有道、DeepL等，以及不少于20个商业AI大模型及翻译引擎。</w:t>
            </w:r>
            <w:r>
              <w:rPr>
                <w:rFonts w:ascii="仿宋_GB2312" w:hAnsi="仿宋_GB2312" w:cs="仿宋_GB2312" w:eastAsia="仿宋_GB2312"/>
                <w:sz w:val="21"/>
                <w:b/>
              </w:rPr>
              <w:t>（该项参数须提供系统功能操作实物现场演示，不接受PPT、图片等其他形式的演示）</w:t>
            </w:r>
          </w:p>
          <w:p>
            <w:pPr>
              <w:pStyle w:val="null3"/>
              <w:jc w:val="both"/>
            </w:pPr>
            <w:r>
              <w:rPr>
                <w:rFonts w:ascii="仿宋_GB2312" w:hAnsi="仿宋_GB2312" w:cs="仿宋_GB2312" w:eastAsia="仿宋_GB2312"/>
                <w:sz w:val="21"/>
              </w:rPr>
              <w:t>78.</w:t>
            </w:r>
            <w:r>
              <w:rPr>
                <w:rFonts w:ascii="仿宋_GB2312" w:hAnsi="仿宋_GB2312" w:cs="仿宋_GB2312" w:eastAsia="仿宋_GB2312"/>
                <w:sz w:val="21"/>
              </w:rPr>
              <w:t>▲须提供AI素材生成引擎，可通过调取DeepSeek、kimi、豆包、文心一言、通义千问、腾讯元宝等大模型，按语种方向、行业领域、字数要求等维度智能生成教学实训素材。（需提供产品软件功能截图予以佐证）</w:t>
            </w:r>
          </w:p>
          <w:p>
            <w:pPr>
              <w:pStyle w:val="null3"/>
              <w:jc w:val="both"/>
            </w:pPr>
            <w:r>
              <w:rPr>
                <w:rFonts w:ascii="仿宋_GB2312" w:hAnsi="仿宋_GB2312" w:cs="仿宋_GB2312" w:eastAsia="仿宋_GB2312"/>
                <w:sz w:val="21"/>
                <w:b/>
              </w:rPr>
              <w:t>（五）多语种教学资源库</w:t>
            </w:r>
          </w:p>
          <w:p>
            <w:pPr>
              <w:pStyle w:val="null3"/>
              <w:jc w:val="both"/>
            </w:pPr>
            <w:r>
              <w:rPr>
                <w:rFonts w:ascii="仿宋_GB2312" w:hAnsi="仿宋_GB2312" w:cs="仿宋_GB2312" w:eastAsia="仿宋_GB2312"/>
                <w:sz w:val="21"/>
              </w:rPr>
              <w:t>79.</w:t>
            </w:r>
            <w:r>
              <w:rPr>
                <w:rFonts w:ascii="仿宋_GB2312" w:hAnsi="仿宋_GB2312" w:cs="仿宋_GB2312" w:eastAsia="仿宋_GB2312"/>
                <w:sz w:val="21"/>
              </w:rPr>
              <w:t>提供不少于12个热门行业的800篇以上真实中英翻译素材，以及不低于1000万条的语料库和500万条的术语库。所有素材均需来自脱敏的商业实战项目。</w:t>
            </w:r>
          </w:p>
          <w:p>
            <w:pPr>
              <w:pStyle w:val="null3"/>
              <w:jc w:val="both"/>
            </w:pPr>
            <w:r>
              <w:rPr>
                <w:rFonts w:ascii="仿宋_GB2312" w:hAnsi="仿宋_GB2312" w:cs="仿宋_GB2312" w:eastAsia="仿宋_GB2312"/>
                <w:sz w:val="21"/>
              </w:rPr>
              <w:t>80.</w:t>
            </w:r>
            <w:r>
              <w:rPr>
                <w:rFonts w:ascii="仿宋_GB2312" w:hAnsi="仿宋_GB2312" w:cs="仿宋_GB2312" w:eastAsia="仿宋_GB2312"/>
                <w:sz w:val="21"/>
              </w:rPr>
              <w:t>提供涵盖笔译、翻译工具、影视字幕等领域的行业专家在线课程，并建立基于区块链的电子证书认证体系。</w:t>
            </w:r>
          </w:p>
          <w:p>
            <w:pPr>
              <w:pStyle w:val="null3"/>
              <w:jc w:val="both"/>
            </w:pPr>
            <w:r>
              <w:rPr>
                <w:rFonts w:ascii="仿宋_GB2312" w:hAnsi="仿宋_GB2312" w:cs="仿宋_GB2312" w:eastAsia="仿宋_GB2312"/>
                <w:sz w:val="21"/>
              </w:rPr>
              <w:t>81.</w:t>
            </w:r>
            <w:r>
              <w:rPr>
                <w:rFonts w:ascii="仿宋_GB2312" w:hAnsi="仿宋_GB2312" w:cs="仿宋_GB2312" w:eastAsia="仿宋_GB2312"/>
                <w:sz w:val="21"/>
              </w:rPr>
              <w:t>▲提供术语提取、文档拆分合并、辅助写作、语料对齐、防抄袭、消密还原、字数统计等职业译员常用工具。（需提供产品软件功能截图予以佐证）</w:t>
            </w:r>
          </w:p>
          <w:p>
            <w:pPr>
              <w:pStyle w:val="null3"/>
              <w:jc w:val="both"/>
            </w:pPr>
            <w:r>
              <w:rPr>
                <w:rFonts w:ascii="仿宋_GB2312" w:hAnsi="仿宋_GB2312" w:cs="仿宋_GB2312" w:eastAsia="仿宋_GB2312"/>
                <w:sz w:val="21"/>
              </w:rPr>
              <w:t>82.</w:t>
            </w:r>
            <w:r>
              <w:rPr>
                <w:rFonts w:ascii="仿宋_GB2312" w:hAnsi="仿宋_GB2312" w:cs="仿宋_GB2312" w:eastAsia="仿宋_GB2312"/>
                <w:sz w:val="21"/>
              </w:rPr>
              <w:t>须具备人工智能机器翻译深度学习功能，为教师的AI翻译研究提供支撑。</w:t>
            </w:r>
          </w:p>
          <w:p>
            <w:pPr>
              <w:pStyle w:val="null3"/>
              <w:jc w:val="both"/>
            </w:pPr>
            <w:r>
              <w:rPr>
                <w:rFonts w:ascii="仿宋_GB2312" w:hAnsi="仿宋_GB2312" w:cs="仿宋_GB2312" w:eastAsia="仿宋_GB2312"/>
                <w:sz w:val="21"/>
              </w:rPr>
              <w:t>83.</w:t>
            </w:r>
            <w:r>
              <w:rPr>
                <w:rFonts w:ascii="仿宋_GB2312" w:hAnsi="仿宋_GB2312" w:cs="仿宋_GB2312" w:eastAsia="仿宋_GB2312"/>
                <w:sz w:val="21"/>
              </w:rPr>
              <w:t>须内置精品教学案例库，案例数量不少于600篇，覆盖政治、金融、社会、文化、科技、法律、医疗、健康、能源、历史、哲学、军事、体育、旅游、农业、工业等十多个领域。每篇案例需包含案例背景、特点、原文、初译、定稿、分析、点评、标签等完整要素。教师可对案例中的初译进行好句、普通、差句三种类型的批注，并支持案例共享。</w:t>
            </w:r>
            <w:r>
              <w:rPr>
                <w:rFonts w:ascii="仿宋_GB2312" w:hAnsi="仿宋_GB2312" w:cs="仿宋_GB2312" w:eastAsia="仿宋_GB2312"/>
                <w:sz w:val="21"/>
                <w:b/>
              </w:rPr>
              <w:t>（该项参数须提供系统功能操作实物现场演示，不接受PPT、图片等其他形式的演示）</w:t>
            </w:r>
          </w:p>
          <w:p>
            <w:pPr>
              <w:pStyle w:val="null3"/>
            </w:pPr>
            <w:r>
              <w:rPr>
                <w:rFonts w:ascii="仿宋_GB2312" w:hAnsi="仿宋_GB2312" w:cs="仿宋_GB2312" w:eastAsia="仿宋_GB2312"/>
                <w:sz w:val="21"/>
              </w:rPr>
              <w:t>84.须内置精品题库，题目数量不少于1400道，支持翻译、词汇选择、同义替换、语法改错、阅读理解、完形填空等多种题型，服务于课堂教学、作业、训练和考试等场景。</w:t>
            </w:r>
            <w:r>
              <w:rPr>
                <w:rFonts w:ascii="仿宋_GB2312" w:hAnsi="仿宋_GB2312" w:cs="仿宋_GB2312" w:eastAsia="仿宋_GB2312"/>
                <w:sz w:val="21"/>
                <w:b/>
              </w:rPr>
              <w:t>（该项参数须提供系统功能操作实物现场演示，不接受PPT、图片等其他形式的演示）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需要提供3C认证证书的产品清单</w:t>
            </w:r>
            <w:r>
              <w:rPr>
                <w:rFonts w:ascii="仿宋_GB2312" w:hAnsi="仿宋_GB2312" w:cs="仿宋_GB2312" w:eastAsia="仿宋_GB2312"/>
                <w:sz w:val="21"/>
              </w:rPr>
              <w:t>：教学大屏、教学一体机、桌面充电器</w:t>
            </w:r>
          </w:p>
          <w:p>
            <w:pPr>
              <w:pStyle w:val="null3"/>
            </w:pPr>
            <w:r>
              <w:rPr>
                <w:rFonts w:ascii="仿宋_GB2312" w:hAnsi="仿宋_GB2312" w:cs="仿宋_GB2312" w:eastAsia="仿宋_GB2312"/>
                <w:sz w:val="21"/>
              </w:rPr>
              <w:t>★需要提供强制节能产品清单：教学大屏、教学一体机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西安外国语大学长安校区高级翻译学院指定地点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预付款，合同签订后，采购人支付，达到付款条件起10个工作日内，支付合同总金额的40.0%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进度款，产品安装调试完成，学校最终验收合格后支付，达到付款条件起10个工作日内，支付合同总金额的60.0%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本项目为交钥匙工程，中标厂商需自行提供项目所需辅材。验收分初次开箱验收、采购人使用单位初步验收和采购人最终验收三个阶段，以最终验收为准。 1.初次开箱验收 设备到货后，采购人、中标人双方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15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5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4.与使用设备相配套的软件8年内由中标人负责免费更新升级。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 （二）（1）执行合同中产生纠纷，由采购人与中标人双方协商解决；协商不成，向有管辖权的人民法院提起诉讼。 （2）中标人应保证设备（系统）使用不侵犯第三方知识产权，若产生纠纷，由中标人承担全部责任及损失。 （3）采购人及中标人的权利和义务（甲方：采购人 乙方：中标人） 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3.5.1支付约定：合同签订后，采购人支付40%合同金额的预付款。产品安装调试完成，学校最终验收合格后支付60%合同金额的余款。（因电子标编制采购文件时，原支付约定描述格式限制，以此条支付约定为准。） 3.5.2供货安装要求：中标人应按照合同约定、采购文件及投标（响应）文件的承诺，向采购人提供完整的货物、技术资料（包括但不限于产品说明书、合格证、保修卡、安装图纸、操作手册等）、专用工具及备品备件。 1.现场条件确认：中标人在安装前，应与采购人共同勘查现场，确认水、电、场地等基础条件满足安装要求。2.安装人员资质：中标人应派具备相应技术能力的人员进行安装。如设备属于国家规定的特种设备，安装人员须持有国家规定从业资格（如特种设备作业、电工、焊工等强制性证书）。安装人员在施工期间应遵守采购人现场管理规定，佩戴工作证件，做到文明施工、安全施工。3.安装标准：安装质量应符合国家现行有效的技术标准、行业规范以及制造商规定的安装要求。安装过程中，中标人应采取必要的安全防护措施，设置警示标志。因中标人原因造成的人员伤亡或财产损失，由中标人承担全部责任。4.调试与试运行：安装完成后，中标人应进行系统调试，确保各项功能、性能指标符合合同约定及投标承诺。试运行期10个工作日。试运行期间，中标人应派技术人员现场跟班保障，及时处理运行中出现的问题。试运行正常后，方可进入正式验收程序。 3.5.3保险要求：1.风险承担：在货物运抵采购人指定地点并经开箱验收合格前，货物毁损、灭失的风险由中标人承担。中标人应采取必要的防护措施，确保货物在运输、装卸及仓储过程中的安全。2.保险责任：（1）中标人负责办理货物从发货地至采购人指定交货地点的全程运输保险。（2）投保险种应至少包含货物运输一切险（或同等效力的险种），并根据货物特性附加必要的特殊险（如易碎品破碎险、防锈险等）。（3）保险金额应不低于合同总价款的100%，并以采购人为被保险人或共同受益人。（4）保险期间自货物离开中标人仓库或工厂起，至货物运抵采购人指定交货地点并由双方完成开箱外观检验止。3.索赔与理赔：若在运输或保管过程中发生保险范围内的损失，中标人应负责立即向保险公司索赔。若因中标人未及时投保、投保金额不足或未正确填写被保险人，导致采购人无法获得足额赔偿的，由中标人承担全部赔偿责任。 3.5.4为顺利推进政府采购电子化交易平台应用工作，投标人需要在线提交所有通过电子化交易平台实施的政府采购项目的投标文件，同时，线下提交投标文件壹份。 注：生成PDF电子文件时，先将各分册合并为完整一册，统一在投标文件页脚正中间编制整册连续页码，确保页码连贯、位置统一、生成的完整纸质投标文件建议A4纸双面打印，装订成册并编制目录和页码，密封并加盖公章。邮寄（仅接收顺丰快递，勿寄顺丰同城）或现场提交均可。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递交响应文件截止时间前6个月内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07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07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相关方案.docx 本国产品说明 附件（授权、书面声明、承诺）.docx 中小企业声明函 商务应答表 中国境内生产的组件成本核算基本规则 投标人应提交的相关资格证明材料 产品参数技术表.docx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相关方案.docx 本国产品说明 附件（授权、书面声明、承诺）.docx 中小企业声明函 商务应答表 中国境内生产的组件成本核算基本规则 投标人应提交的相关资格证明材料 产品参数技术表.docx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技术、商务要求是否满足实质性要求的（交货期限大于招标要求、质保期小于招标要求、付款方式不满足招标要求等）</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开标一览表 相关方案.docx 本国产品说明 附件（授权、书面声明、承诺）.docx 中小企业声明函 商务应答表 中国境内生产的组件成本核算基本规则 投标人应提交的相关资格证明材料 产品参数技术表.docx 分项报价表.docx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的技术指标和功能中：1、重要参数评审：“▲”项参数条款响应得分=（投标人满足“▲”项技术参数条款的数量÷“▲”项技术参数条款的总数量）×12分；2、一般参数评审（除“▲”项及演示项）：其余参数条款响应得分=（投标人满足的其余技术参数条款的数量÷其余技术参数条款的总数量）×18分；4、技术要求总得分=重要参数评审得分+一般参数评审得分。注：加“▲”参数需提供佐证材料，佐证材料不限于：产品彩页、检测报告、官网截图等证明材料，佐证材料须包含产品的技术参数，并按要求放入投标文件中，予以证明其技术参数的响应性。投标人自行承担因证明材料不全而被视为技术参数偏离的风险。要求提供佐证材料以佐证材料为准，不提供的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产品参数技术表.docx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内容包含设备选型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 2分） 设备选型：每完全满足一个评审标准得0.5分，满分2分；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项目实施计划和保证措施</w:t>
            </w:r>
          </w:p>
        </w:tc>
        <w:tc>
          <w:tcPr>
            <w:tcW w:type="dxa" w:w="2492"/>
          </w:tcPr>
          <w:p>
            <w:pPr>
              <w:pStyle w:val="null3"/>
            </w:pPr>
            <w:r>
              <w:rPr>
                <w:rFonts w:ascii="仿宋_GB2312" w:hAnsi="仿宋_GB2312" w:cs="仿宋_GB2312" w:eastAsia="仿宋_GB2312"/>
              </w:rPr>
              <w:t>一、评审内容供应商需提供科学、完整、合理、规范的实施方案及措施。内容包含：①项目实施方案计划②进度保证措施③人员配置方案④供货、安装、调试方案、验收措施⑤应急处理方案。 二、评审标准 1、完整性：方案须全面，对评审内容中的各项要求描述详细； 2、可实施性：切合本项目实际情况，实施步骤清晰、合理； 3、针对性：方案能够紧扣项目实际情况，内容科学合理。 三、赋分依据（满分9分） ①项目实施方案计划：每完全满足一个评审标准得1分，满分3分；②进度保证措施:每完全满足一个评审标准得0.5分，满分1.5分； ③人员配置方案:每完全满足一个评审标准得0.5分，满分1.5分； ④供货、安装、调试方案、验收：每完全满足一个评审标准得0.5分，满分1.5分；⑤应急处理方案:每完全满足一个评审标准得0.5分，满分1.5分。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根据项目实际需求提供售后服务方案。内容包含：①售后服务范围及保障措施②响应时间③故障处理及补救措施④定期回访及维护。 二、评审标准 1.完整性：方案须全面，对评审内容中的各项要求有详细描述； 2.可实施性：切合本项目实际情况，提出步骤清晰、合理的方案； 3.针对性：方案能够紧扣项目实际情况，内容科学合理。 三、赋分依据（满分6分） ①售后服务范围及保障措施：每完全满足一个评审标准得0.5分，满分1.5分； ②响应时间:每完全满足一个评审标准得0.5分，满分1.5分； ③故障处理及补救措施:每完全满足一个评审标准得0.5分，满分1.5分； ④定期回访及维护：完全满足一个评审标准得0.5分，满分1.5分。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投标人针对本项目提供①培训方案②培训人员及时间安排。 二、评审标准：1、完整性：方案须全面，对评审内容中的各项要求描述详细； 2、可实施性、合理性：切合本项目实际情况，实施步骤清晰、合理； 三、赋分依据（满分3分）： ①培训方案：每完全满足一项评审标准得1分，满分2分；②培训人员及时间安排：每完全满足一项评审标准得0.5分，满分1分；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为更好地展示供应商所提供产品的性能，供应商需根据技术要求中需要演示项共10条，提供系统现场功能演示，要求演示时长不超过15分钟。为需要进行现场演示的功能项，提供系统功能操作实物现场演示（不接受PPT、图片等其他形式的演示），且演示内容功能完整符合、运行流畅的，每完整演示1条得1分，存在1处瑕疵扣、未提供任何形式演示，或使用PPT等文本演示，得0分。备注：瑕疵是指功能缺项、运行卡顿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投标人提供自2023年6月1日起（以合同签订日为准）至今承担过类似业绩，每提供1个完整类似业绩合同得2分，最高得10分。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以合格投标人有效投标总报价中的最低价为基准价，基准价为30分。投标报价得分＝（评标基准价/投标报价）×30%×100（小数点后保留2位小数）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详见附件：相关方案.docx</w:t>
      </w:r>
    </w:p>
    <w:p>
      <w:pPr>
        <w:pStyle w:val="null3"/>
        <w:ind w:firstLine="960"/>
      </w:pPr>
      <w:r>
        <w:rPr>
          <w:rFonts w:ascii="仿宋_GB2312" w:hAnsi="仿宋_GB2312" w:cs="仿宋_GB2312" w:eastAsia="仿宋_GB2312"/>
        </w:rPr>
        <w:t>详见附件：附件（授权、书面声明、承诺）.docx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详见附件：产品参数技术表.docx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详见附件：西安外国语大学货物合同模板.docx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