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39CCB0">
      <w:pPr>
        <w:pStyle w:val="6"/>
        <w:rPr>
          <w:rFonts w:hint="default"/>
        </w:rPr>
      </w:pPr>
      <w:r>
        <w:rPr>
          <w:rFonts w:ascii="仿宋_GB2312" w:hAnsi="仿宋_GB2312" w:eastAsia="仿宋_GB2312" w:cs="仿宋_GB2312"/>
        </w:rPr>
        <w:t>采购包1：</w:t>
      </w:r>
    </w:p>
    <w:p w14:paraId="7C6E28BE">
      <w:pPr>
        <w:pStyle w:val="6"/>
        <w:rPr>
          <w:rFonts w:hint="default" w:eastAsia="仿宋_GB2312"/>
          <w:lang w:eastAsia="zh-CN"/>
        </w:rPr>
      </w:pPr>
      <w:r>
        <w:rPr>
          <w:rFonts w:ascii="仿宋_GB2312" w:hAnsi="仿宋_GB2312" w:eastAsia="仿宋_GB2312" w:cs="仿宋_GB2312"/>
        </w:rPr>
        <w:t>标的名称：</w:t>
      </w:r>
      <w:r>
        <w:rPr>
          <w:rFonts w:ascii="仿宋_GB2312" w:hAnsi="仿宋_GB2312" w:eastAsia="仿宋_GB2312" w:cs="仿宋_GB2312"/>
          <w:lang w:eastAsia="zh-CN"/>
        </w:rPr>
        <w:t>陕西省高速公路收费中心高速公路联网收费系统应用软件运维项目</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75"/>
        <w:gridCol w:w="993"/>
        <w:gridCol w:w="6639"/>
      </w:tblGrid>
      <w:tr w14:paraId="3DF834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5" w:type="dxa"/>
          </w:tcPr>
          <w:p w14:paraId="291DF2B1">
            <w:pPr>
              <w:pStyle w:val="6"/>
              <w:spacing w:line="460" w:lineRule="exact"/>
              <w:rPr>
                <w:rFonts w:ascii="宋体" w:hAnsi="宋体" w:eastAsia="宋体" w:cs="宋体"/>
              </w:rPr>
            </w:pPr>
            <w:r>
              <w:rPr>
                <w:rFonts w:ascii="宋体" w:hAnsi="宋体" w:eastAsia="宋体" w:cs="宋体"/>
              </w:rPr>
              <w:t>序号</w:t>
            </w:r>
          </w:p>
        </w:tc>
        <w:tc>
          <w:tcPr>
            <w:tcW w:w="993" w:type="dxa"/>
          </w:tcPr>
          <w:p w14:paraId="7CF438E7">
            <w:pPr>
              <w:pStyle w:val="6"/>
              <w:spacing w:line="460" w:lineRule="exact"/>
              <w:rPr>
                <w:rFonts w:ascii="宋体" w:hAnsi="宋体" w:eastAsia="宋体" w:cs="宋体"/>
              </w:rPr>
            </w:pPr>
            <w:r>
              <w:rPr>
                <w:rFonts w:ascii="宋体" w:hAnsi="宋体" w:eastAsia="宋体" w:cs="宋体"/>
              </w:rPr>
              <w:t>参数性质</w:t>
            </w:r>
          </w:p>
        </w:tc>
        <w:tc>
          <w:tcPr>
            <w:tcW w:w="6639" w:type="dxa"/>
          </w:tcPr>
          <w:p w14:paraId="4037F67F">
            <w:pPr>
              <w:pStyle w:val="6"/>
              <w:spacing w:line="460" w:lineRule="exact"/>
              <w:rPr>
                <w:rFonts w:ascii="宋体" w:hAnsi="宋体" w:eastAsia="宋体" w:cs="宋体"/>
              </w:rPr>
            </w:pPr>
            <w:r>
              <w:rPr>
                <w:rFonts w:ascii="宋体" w:hAnsi="宋体" w:eastAsia="宋体" w:cs="宋体"/>
              </w:rPr>
              <w:t xml:space="preserve"> </w:t>
            </w:r>
            <w:bookmarkStart w:id="2" w:name="_GoBack"/>
            <w:bookmarkEnd w:id="2"/>
            <w:r>
              <w:rPr>
                <w:rFonts w:ascii="宋体" w:hAnsi="宋体" w:eastAsia="宋体" w:cs="宋体"/>
              </w:rPr>
              <w:t>技术参数与性能指标</w:t>
            </w:r>
          </w:p>
        </w:tc>
      </w:tr>
      <w:tr w14:paraId="476B22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5" w:type="dxa"/>
          </w:tcPr>
          <w:p w14:paraId="75FABFAA">
            <w:pPr>
              <w:pStyle w:val="6"/>
              <w:spacing w:line="460" w:lineRule="exact"/>
              <w:rPr>
                <w:rFonts w:ascii="宋体" w:hAnsi="宋体" w:eastAsia="宋体" w:cs="宋体"/>
                <w:lang w:eastAsia="zh-CN"/>
              </w:rPr>
            </w:pPr>
            <w:r>
              <w:rPr>
                <w:rFonts w:ascii="宋体" w:hAnsi="宋体" w:eastAsia="宋体" w:cs="宋体"/>
                <w:lang w:eastAsia="zh-CN"/>
              </w:rPr>
              <w:t>1</w:t>
            </w:r>
          </w:p>
        </w:tc>
        <w:tc>
          <w:tcPr>
            <w:tcW w:w="993" w:type="dxa"/>
          </w:tcPr>
          <w:p w14:paraId="2F97D339">
            <w:pPr>
              <w:pStyle w:val="6"/>
              <w:spacing w:line="460" w:lineRule="exact"/>
              <w:rPr>
                <w:rFonts w:ascii="宋体" w:hAnsi="宋体" w:eastAsia="宋体" w:cs="宋体"/>
              </w:rPr>
            </w:pPr>
          </w:p>
        </w:tc>
        <w:tc>
          <w:tcPr>
            <w:tcW w:w="6639" w:type="dxa"/>
          </w:tcPr>
          <w:p w14:paraId="0C5AC224">
            <w:pPr>
              <w:pStyle w:val="6"/>
              <w:rPr>
                <w:rFonts w:ascii="仿宋_GB2312" w:hAnsi="仿宋_GB2312" w:eastAsia="仿宋_GB2312" w:cs="仿宋_GB2312"/>
                <w:b/>
                <w:bCs/>
                <w:lang w:eastAsia="zh-CN"/>
              </w:rPr>
            </w:pPr>
            <w:r>
              <w:rPr>
                <w:rFonts w:ascii="仿宋_GB2312" w:hAnsi="仿宋_GB2312" w:eastAsia="仿宋_GB2312" w:cs="仿宋_GB2312"/>
                <w:b/>
                <w:bCs/>
                <w:lang w:eastAsia="zh-CN"/>
              </w:rPr>
              <w:t>一、项目概况</w:t>
            </w:r>
          </w:p>
          <w:p w14:paraId="4655A780">
            <w:pPr>
              <w:pStyle w:val="6"/>
              <w:rPr>
                <w:rFonts w:ascii="仿宋_GB2312" w:hAnsi="仿宋_GB2312" w:eastAsia="仿宋_GB2312" w:cs="仿宋_GB2312"/>
                <w:b/>
                <w:bCs/>
              </w:rPr>
            </w:pPr>
            <w:r>
              <w:rPr>
                <w:rFonts w:ascii="仿宋_GB2312" w:hAnsi="仿宋_GB2312" w:eastAsia="仿宋_GB2312" w:cs="仿宋_GB2312"/>
                <w:b/>
                <w:bCs/>
              </w:rPr>
              <w:t>（一）基本情况</w:t>
            </w:r>
          </w:p>
          <w:p w14:paraId="5F07BC8E">
            <w:pPr>
              <w:pStyle w:val="6"/>
              <w:ind w:firstLine="480"/>
              <w:rPr>
                <w:rFonts w:ascii="仿宋_GB2312" w:hAnsi="仿宋_GB2312" w:eastAsia="仿宋_GB2312" w:cs="仿宋_GB2312"/>
              </w:rPr>
            </w:pPr>
            <w:r>
              <w:rPr>
                <w:rFonts w:ascii="仿宋_GB2312" w:hAnsi="仿宋_GB2312" w:eastAsia="仿宋_GB2312" w:cs="仿宋_GB2312"/>
              </w:rPr>
              <w:t>陕西省高速公路联网收费系统应用软件维护项目预算由联网收费系统应用软件维护（110万元）、费率库升级服务（46万元）、CPC卡发行系统软件维护（6万元）三部分内容组成。</w:t>
            </w:r>
          </w:p>
          <w:p w14:paraId="46D9725F">
            <w:pPr>
              <w:pStyle w:val="6"/>
              <w:ind w:firstLine="480"/>
              <w:rPr>
                <w:rFonts w:ascii="仿宋_GB2312" w:hAnsi="仿宋_GB2312" w:eastAsia="仿宋_GB2312" w:cs="仿宋_GB2312"/>
              </w:rPr>
            </w:pPr>
            <w:r>
              <w:rPr>
                <w:rFonts w:ascii="仿宋_GB2312" w:hAnsi="仿宋_GB2312" w:eastAsia="仿宋_GB2312" w:cs="仿宋_GB2312"/>
              </w:rPr>
              <w:t>联网收费系统的应用软件，承担了我省高速公路通行费的数据接收，记账数据处理，清分数据处理，对账数据处理、结算数据处理、退费数据处理、补缴数据处理，拆分数据处理、数据统计分析、车道软件升级（包括新路段开通、节假日免费、已有功能的完善）等多种业务，是高速公路收费管理的重要支撑。为了保障系统的正常运行，持续发挥重要作用，应用软件需进行日常维护，以减少产生争议交易等问题，提高系统运行效率和系统可靠运行。</w:t>
            </w:r>
          </w:p>
          <w:p w14:paraId="1F0577BC">
            <w:pPr>
              <w:pStyle w:val="6"/>
              <w:ind w:firstLine="480"/>
              <w:rPr>
                <w:rFonts w:ascii="仿宋_GB2312" w:hAnsi="仿宋_GB2312" w:eastAsia="仿宋_GB2312" w:cs="仿宋_GB2312"/>
              </w:rPr>
            </w:pPr>
            <w:r>
              <w:rPr>
                <w:rFonts w:ascii="仿宋_GB2312" w:hAnsi="仿宋_GB2312" w:eastAsia="仿宋_GB2312" w:cs="仿宋_GB2312"/>
              </w:rPr>
              <w:t>费率库编制服务是为进一步提升路网费率制定及下发水平，保障全省联网费率制定下发工作的规范稳定运行，按照《收费公路联网收费费率发布周期优化方案》，结合全省路网新通车路段、差异化收费政策及其他费率变化等情况，不定期进行费率制定及下发的工作，保障全省收费门架、收费车道计费精准。</w:t>
            </w:r>
          </w:p>
          <w:p w14:paraId="47489AE5">
            <w:pPr>
              <w:pStyle w:val="6"/>
              <w:ind w:firstLine="480"/>
              <w:rPr>
                <w:rFonts w:ascii="宋体" w:hAnsi="宋体" w:eastAsia="宋体" w:cs="宋体"/>
                <w:lang w:eastAsia="zh-CN"/>
              </w:rPr>
            </w:pPr>
            <w:r>
              <w:rPr>
                <w:rFonts w:ascii="仿宋_GB2312" w:hAnsi="仿宋_GB2312" w:eastAsia="仿宋_GB2312" w:cs="仿宋_GB2312"/>
              </w:rPr>
              <w:t>国密省收费中心系统及CPC卡发行系统，承担了为全省门架、车道授权、签到及通行介质的初始化发行等重要工作任务，确保联网收费正常运转。</w:t>
            </w:r>
          </w:p>
        </w:tc>
      </w:tr>
      <w:tr w14:paraId="1C8B27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856" w:hRule="atLeast"/>
        </w:trPr>
        <w:tc>
          <w:tcPr>
            <w:tcW w:w="675" w:type="dxa"/>
          </w:tcPr>
          <w:p w14:paraId="740624E9">
            <w:pPr>
              <w:pStyle w:val="6"/>
              <w:spacing w:line="460" w:lineRule="exact"/>
              <w:rPr>
                <w:rFonts w:ascii="宋体" w:hAnsi="宋体" w:eastAsia="宋体" w:cs="宋体"/>
                <w:lang w:eastAsia="zh-CN"/>
              </w:rPr>
            </w:pPr>
            <w:r>
              <w:rPr>
                <w:rFonts w:ascii="宋体" w:hAnsi="宋体" w:eastAsia="宋体" w:cs="宋体"/>
                <w:lang w:eastAsia="zh-CN"/>
              </w:rPr>
              <w:t>2</w:t>
            </w:r>
          </w:p>
        </w:tc>
        <w:tc>
          <w:tcPr>
            <w:tcW w:w="993" w:type="dxa"/>
          </w:tcPr>
          <w:p w14:paraId="2AC2F6D5">
            <w:pPr>
              <w:spacing w:line="460" w:lineRule="exact"/>
              <w:rPr>
                <w:rFonts w:hint="eastAsia" w:ascii="宋体" w:hAnsi="宋体" w:cs="宋体"/>
                <w:sz w:val="20"/>
                <w:szCs w:val="20"/>
              </w:rPr>
            </w:pPr>
          </w:p>
        </w:tc>
        <w:tc>
          <w:tcPr>
            <w:tcW w:w="6639" w:type="dxa"/>
          </w:tcPr>
          <w:p w14:paraId="4C875982">
            <w:pPr>
              <w:pStyle w:val="6"/>
              <w:rPr>
                <w:rFonts w:ascii="仿宋_GB2312" w:hAnsi="仿宋_GB2312" w:eastAsia="仿宋_GB2312" w:cs="仿宋_GB2312"/>
                <w:b/>
                <w:bCs/>
              </w:rPr>
            </w:pPr>
            <w:r>
              <w:rPr>
                <w:rFonts w:ascii="仿宋_GB2312" w:hAnsi="仿宋_GB2312" w:eastAsia="仿宋_GB2312" w:cs="仿宋_GB2312"/>
                <w:b/>
                <w:bCs/>
              </w:rPr>
              <w:t>（二）服务范围</w:t>
            </w:r>
          </w:p>
          <w:p w14:paraId="7F81A976">
            <w:pPr>
              <w:pStyle w:val="6"/>
              <w:ind w:firstLine="480"/>
              <w:rPr>
                <w:rFonts w:ascii="仿宋_GB2312" w:hAnsi="仿宋_GB2312" w:eastAsia="仿宋_GB2312" w:cs="仿宋_GB2312"/>
              </w:rPr>
            </w:pPr>
            <w:r>
              <w:rPr>
                <w:rFonts w:ascii="仿宋_GB2312" w:hAnsi="仿宋_GB2312" w:eastAsia="仿宋_GB2312" w:cs="仿宋_GB2312"/>
              </w:rPr>
              <w:t>1.陕西省高速公路联网收费系统应用软件维护：陕西省高速公路联网收费系统应用软件系统。</w:t>
            </w:r>
          </w:p>
          <w:p w14:paraId="2C4F20E2">
            <w:pPr>
              <w:pStyle w:val="6"/>
              <w:ind w:firstLine="480"/>
              <w:rPr>
                <w:rFonts w:ascii="仿宋_GB2312" w:hAnsi="仿宋_GB2312" w:eastAsia="仿宋_GB2312" w:cs="仿宋_GB2312"/>
              </w:rPr>
            </w:pPr>
            <w:r>
              <w:rPr>
                <w:rFonts w:ascii="仿宋_GB2312" w:hAnsi="仿宋_GB2312" w:eastAsia="仿宋_GB2312" w:cs="仿宋_GB2312"/>
              </w:rPr>
              <w:t>2.费率库编制服务：陕西省高速公路联网收费系统费率库。</w:t>
            </w:r>
          </w:p>
          <w:p w14:paraId="0B7B8432">
            <w:pPr>
              <w:pStyle w:val="6"/>
              <w:ind w:firstLine="480"/>
              <w:rPr>
                <w:rFonts w:ascii="仿宋_GB2312" w:hAnsi="仿宋_GB2312" w:eastAsia="仿宋_GB2312" w:cs="仿宋_GB2312"/>
                <w:lang w:eastAsia="zh-CN"/>
              </w:rPr>
            </w:pPr>
            <w:r>
              <w:rPr>
                <w:rFonts w:ascii="仿宋_GB2312" w:hAnsi="仿宋_GB2312" w:eastAsia="仿宋_GB2312" w:cs="仿宋_GB2312"/>
              </w:rPr>
              <w:t>3.CPC卡发行系统软件维护：维护CPC卡发行系统（含国密省收费中心系统）。</w:t>
            </w:r>
          </w:p>
        </w:tc>
      </w:tr>
      <w:tr w14:paraId="5200F0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5" w:type="dxa"/>
          </w:tcPr>
          <w:p w14:paraId="216C3389">
            <w:pPr>
              <w:pStyle w:val="6"/>
              <w:spacing w:line="460" w:lineRule="exact"/>
              <w:rPr>
                <w:rFonts w:ascii="宋体" w:hAnsi="宋体" w:eastAsia="宋体" w:cs="宋体"/>
                <w:lang w:eastAsia="zh-CN"/>
              </w:rPr>
            </w:pPr>
            <w:r>
              <w:rPr>
                <w:rFonts w:ascii="宋体" w:hAnsi="宋体" w:eastAsia="宋体" w:cs="宋体"/>
                <w:lang w:eastAsia="zh-CN"/>
              </w:rPr>
              <w:t>3</w:t>
            </w:r>
          </w:p>
        </w:tc>
        <w:tc>
          <w:tcPr>
            <w:tcW w:w="993" w:type="dxa"/>
          </w:tcPr>
          <w:p w14:paraId="4F01DE58">
            <w:pPr>
              <w:spacing w:line="460" w:lineRule="exact"/>
              <w:rPr>
                <w:rFonts w:hint="eastAsia" w:ascii="宋体" w:hAnsi="宋体" w:cs="宋体"/>
                <w:sz w:val="20"/>
                <w:szCs w:val="20"/>
              </w:rPr>
            </w:pPr>
          </w:p>
        </w:tc>
        <w:tc>
          <w:tcPr>
            <w:tcW w:w="6639" w:type="dxa"/>
          </w:tcPr>
          <w:p w14:paraId="67B726AB">
            <w:pPr>
              <w:pStyle w:val="6"/>
              <w:rPr>
                <w:rFonts w:ascii="仿宋_GB2312" w:hAnsi="仿宋_GB2312" w:eastAsia="仿宋_GB2312" w:cs="仿宋_GB2312"/>
                <w:b/>
                <w:bCs/>
              </w:rPr>
            </w:pPr>
            <w:r>
              <w:rPr>
                <w:rFonts w:ascii="仿宋_GB2312" w:hAnsi="仿宋_GB2312" w:eastAsia="仿宋_GB2312" w:cs="仿宋_GB2312"/>
                <w:b/>
                <w:bCs/>
              </w:rPr>
              <w:t>二、服务内容</w:t>
            </w:r>
          </w:p>
          <w:p w14:paraId="78535179">
            <w:pPr>
              <w:pStyle w:val="6"/>
              <w:rPr>
                <w:rFonts w:ascii="仿宋_GB2312" w:hAnsi="仿宋_GB2312" w:eastAsia="仿宋_GB2312" w:cs="仿宋_GB2312"/>
                <w:b/>
                <w:bCs/>
              </w:rPr>
            </w:pPr>
            <w:r>
              <w:rPr>
                <w:rFonts w:ascii="仿宋_GB2312" w:hAnsi="仿宋_GB2312" w:eastAsia="仿宋_GB2312" w:cs="仿宋_GB2312"/>
                <w:b/>
                <w:bCs/>
              </w:rPr>
              <w:t>（一）联网收费系统应用软件维护</w:t>
            </w:r>
          </w:p>
          <w:p w14:paraId="2F69899E">
            <w:pPr>
              <w:pStyle w:val="6"/>
              <w:ind w:firstLine="480"/>
              <w:rPr>
                <w:rFonts w:ascii="仿宋_GB2312" w:hAnsi="仿宋_GB2312" w:eastAsia="仿宋_GB2312" w:cs="仿宋_GB2312"/>
              </w:rPr>
            </w:pPr>
            <w:r>
              <w:rPr>
                <w:rFonts w:ascii="仿宋_GB2312" w:hAnsi="仿宋_GB2312" w:eastAsia="仿宋_GB2312" w:cs="仿宋_GB2312"/>
              </w:rPr>
              <w:t>1.基础信息管理系统：根据路段机构信息变动，及时调整及更新路网基础信息，支撑收费系统正常运行。</w:t>
            </w:r>
          </w:p>
          <w:p w14:paraId="7ED13335">
            <w:pPr>
              <w:pStyle w:val="6"/>
              <w:ind w:firstLine="480"/>
              <w:rPr>
                <w:rFonts w:ascii="仿宋_GB2312" w:hAnsi="仿宋_GB2312" w:eastAsia="仿宋_GB2312" w:cs="仿宋_GB2312"/>
              </w:rPr>
            </w:pPr>
            <w:r>
              <w:rPr>
                <w:rFonts w:ascii="仿宋_GB2312" w:hAnsi="仿宋_GB2312" w:eastAsia="仿宋_GB2312" w:cs="仿宋_GB2312"/>
              </w:rPr>
              <w:t>2.用户状态名单管理系统：管理维护用户状态名单、绿通名单、应急名单、差异化优惠名单等多个名单，及时发现并处理部中心下载、名单整理、名单校验、名单下发、名单传输过程中出现的问题，减少由于名单下发不及时导致的争议交易。</w:t>
            </w:r>
          </w:p>
          <w:p w14:paraId="3AA67D07">
            <w:pPr>
              <w:pStyle w:val="6"/>
              <w:ind w:firstLine="480"/>
              <w:rPr>
                <w:rFonts w:ascii="仿宋_GB2312" w:hAnsi="仿宋_GB2312" w:eastAsia="仿宋_GB2312" w:cs="仿宋_GB2312"/>
              </w:rPr>
            </w:pPr>
            <w:r>
              <w:rPr>
                <w:rFonts w:ascii="仿宋_GB2312" w:hAnsi="仿宋_GB2312" w:eastAsia="仿宋_GB2312" w:cs="仿宋_GB2312"/>
              </w:rPr>
              <w:t>3.清分系统：及时处理清分过程中存在的问题，根据业务需求变化调整优化清分系统功能，以保障通行费分配的正常开展。</w:t>
            </w:r>
          </w:p>
          <w:p w14:paraId="20174A4A">
            <w:pPr>
              <w:pStyle w:val="6"/>
              <w:ind w:firstLine="480"/>
              <w:rPr>
                <w:rFonts w:ascii="仿宋_GB2312" w:hAnsi="仿宋_GB2312" w:eastAsia="仿宋_GB2312" w:cs="仿宋_GB2312"/>
              </w:rPr>
            </w:pPr>
            <w:r>
              <w:rPr>
                <w:rFonts w:ascii="仿宋_GB2312" w:hAnsi="仿宋_GB2312" w:eastAsia="仿宋_GB2312" w:cs="仿宋_GB2312"/>
              </w:rPr>
              <w:t>4.对账及结算系统：分类判定门架收费数据、实体收费站交易对账与结算过程中的问题并及时处理，保障我省发出的追偿数据和外省转来的追偿数据正常流转；对结算时出现的账务不一致、不能正常结算、无法按时结算、系统异常等问题进行针对性分析处理，保证结算业务每日正常完成。</w:t>
            </w:r>
          </w:p>
          <w:p w14:paraId="3889BD11">
            <w:pPr>
              <w:pStyle w:val="6"/>
              <w:ind w:firstLine="480"/>
              <w:rPr>
                <w:rFonts w:ascii="仿宋_GB2312" w:hAnsi="仿宋_GB2312" w:eastAsia="仿宋_GB2312" w:cs="仿宋_GB2312"/>
              </w:rPr>
            </w:pPr>
            <w:r>
              <w:rPr>
                <w:rFonts w:ascii="仿宋_GB2312" w:hAnsi="仿宋_GB2312" w:eastAsia="仿宋_GB2312" w:cs="仿宋_GB2312"/>
              </w:rPr>
              <w:t>5.记账与争议处理系统：针对记账功能异常进行分析处理，针对争议数据处理功能出现异常进行维护处理；协助分析争议数据如TAC校验不通过，用户状态名单，卡不在有效期内，卡片不存在等争议数据异常增加时，分析存在的原因及解决思路。</w:t>
            </w:r>
          </w:p>
          <w:p w14:paraId="17271A42">
            <w:pPr>
              <w:pStyle w:val="6"/>
              <w:ind w:firstLine="480"/>
              <w:rPr>
                <w:rFonts w:ascii="仿宋_GB2312" w:hAnsi="仿宋_GB2312" w:eastAsia="仿宋_GB2312" w:cs="仿宋_GB2312"/>
              </w:rPr>
            </w:pPr>
            <w:r>
              <w:rPr>
                <w:rFonts w:ascii="仿宋_GB2312" w:hAnsi="仿宋_GB2312" w:eastAsia="仿宋_GB2312" w:cs="仿宋_GB2312"/>
              </w:rPr>
              <w:t>6.省级收费公路营改增发票业务系统：维护发票数据整理、审核、打包、传输、省部对接等系统功能，保障用户可正常打印发票。对用户不能正常打印发票等问题，从数据传输是否正常，车牌是否正确等方面进行分析，对于历史无法正常打印的发票进行手动处理，确保每一笔消费均可正常打印发票。</w:t>
            </w:r>
          </w:p>
          <w:p w14:paraId="52270ABA">
            <w:pPr>
              <w:pStyle w:val="6"/>
              <w:ind w:firstLine="480"/>
              <w:rPr>
                <w:rFonts w:ascii="仿宋_GB2312" w:hAnsi="仿宋_GB2312" w:eastAsia="仿宋_GB2312" w:cs="仿宋_GB2312"/>
              </w:rPr>
            </w:pPr>
            <w:r>
              <w:rPr>
                <w:rFonts w:ascii="仿宋_GB2312" w:hAnsi="仿宋_GB2312" w:eastAsia="仿宋_GB2312" w:cs="仿宋_GB2312"/>
              </w:rPr>
              <w:t>7.退费补交系统：及时核查并处理退费或者补交业务存在的异常，通过查询passid、车牌等信息是否正确以便关联到正常的拆分数据进行相应处理，确保部省间退费数据、补交、结算数据交换及相关业务流程正常运行。</w:t>
            </w:r>
          </w:p>
          <w:p w14:paraId="3ED3569D">
            <w:pPr>
              <w:pStyle w:val="6"/>
              <w:ind w:firstLine="480"/>
              <w:rPr>
                <w:rFonts w:ascii="仿宋_GB2312" w:hAnsi="仿宋_GB2312" w:eastAsia="仿宋_GB2312" w:cs="仿宋_GB2312"/>
              </w:rPr>
            </w:pPr>
            <w:r>
              <w:rPr>
                <w:rFonts w:ascii="仿宋_GB2312" w:hAnsi="仿宋_GB2312" w:eastAsia="仿宋_GB2312" w:cs="仿宋_GB2312"/>
              </w:rPr>
              <w:t>8.数据汇聚系统：及时核查并处理数据传输不完整、数据格式异常等常见问题，保障省内高速公路网内车辆的通行数据和交易数据的正常汇聚，支撑其他业务正常进行。</w:t>
            </w:r>
          </w:p>
          <w:p w14:paraId="4CAEA518">
            <w:pPr>
              <w:pStyle w:val="6"/>
              <w:ind w:firstLine="480"/>
              <w:rPr>
                <w:rFonts w:ascii="仿宋_GB2312" w:hAnsi="仿宋_GB2312" w:eastAsia="仿宋_GB2312" w:cs="仿宋_GB2312"/>
              </w:rPr>
            </w:pPr>
            <w:r>
              <w:rPr>
                <w:rFonts w:ascii="仿宋_GB2312" w:hAnsi="仿宋_GB2312" w:eastAsia="仿宋_GB2312" w:cs="仿宋_GB2312"/>
              </w:rPr>
              <w:t>9.省级计费服务系统：根据实际工作需求及部中心每周计费信息的调整情况，开发本省费率模块，向部联网中心平台上传省级计费参数、省级路径参数、计费路径及通行费数据，实现从部联网中心平台下载全网收费站间可达最短路径参数和其他省（市）省级计费参数；同时根据新业务的需求，为通行费费率计算、通行费征收、收费稽查及特情车辆处理等业务提供数据基础，包括计费服务、路径拟合、路径查询、特情业务辅助等四大类内容。</w:t>
            </w:r>
          </w:p>
          <w:p w14:paraId="63005E50">
            <w:pPr>
              <w:pStyle w:val="6"/>
              <w:ind w:firstLine="480"/>
              <w:rPr>
                <w:rFonts w:ascii="仿宋_GB2312" w:hAnsi="仿宋_GB2312" w:eastAsia="仿宋_GB2312" w:cs="仿宋_GB2312"/>
              </w:rPr>
            </w:pPr>
            <w:r>
              <w:rPr>
                <w:rFonts w:ascii="仿宋_GB2312" w:hAnsi="仿宋_GB2312" w:eastAsia="仿宋_GB2312" w:cs="仿宋_GB2312"/>
              </w:rPr>
              <w:t>10.统计报表系统：及时核查并处理报表无法统计，数据不完整等问题，保障中心及站级的流量类、金额类、现金及非现金交易类等报表正常运行。完成中心临时数据统计工作。</w:t>
            </w:r>
          </w:p>
          <w:p w14:paraId="202EFFAD">
            <w:pPr>
              <w:pStyle w:val="6"/>
              <w:ind w:firstLine="480"/>
              <w:rPr>
                <w:rFonts w:ascii="仿宋_GB2312" w:hAnsi="仿宋_GB2312" w:eastAsia="仿宋_GB2312" w:cs="仿宋_GB2312"/>
              </w:rPr>
            </w:pPr>
            <w:r>
              <w:rPr>
                <w:rFonts w:ascii="仿宋_GB2312" w:hAnsi="仿宋_GB2312" w:eastAsia="仿宋_GB2312" w:cs="仿宋_GB2312"/>
              </w:rPr>
              <w:t>11.发行系统数据交互系统：对交易数据的整理、打包功能，发行方与清分方之间的数据交互进行日常巡检，分析处理各类异常导致的数据积压问题，确保数据交互业务正常工作。具体包括省内交易数据交互接口、省内记账数据交互接口、省内清分数据交互接口、省内争议数据交互接口、省内一二级路交易数据交互接口、省内一二级路非现金确认数据交互接口、省内一二级路日清分数据交互接口等。</w:t>
            </w:r>
          </w:p>
          <w:p w14:paraId="461356CE">
            <w:pPr>
              <w:pStyle w:val="6"/>
              <w:ind w:firstLine="480"/>
              <w:rPr>
                <w:rFonts w:ascii="仿宋_GB2312" w:hAnsi="仿宋_GB2312" w:eastAsia="仿宋_GB2312" w:cs="仿宋_GB2312"/>
              </w:rPr>
            </w:pPr>
            <w:r>
              <w:rPr>
                <w:rFonts w:ascii="仿宋_GB2312" w:hAnsi="仿宋_GB2312" w:eastAsia="仿宋_GB2312" w:cs="仿宋_GB2312"/>
              </w:rPr>
              <w:t>12.部省数据交互系统：日常巡检对省联网中心业务数据向部级系统的数据传输、从部级系统下载省联网中心业务数据等15类接口功能，发现问题及时分析处理，减少由于接口异常导致无法正常传输数据，影响其他业务的正常运行。导致接口异常的问题主要包括部中心接收异常、网络异常、数据库异常等导致的接口交互异常。分析处理各类异常导致的数据积压问题，确保数据交互业务正常工作。</w:t>
            </w:r>
          </w:p>
          <w:p w14:paraId="6EF5F732">
            <w:pPr>
              <w:pStyle w:val="6"/>
              <w:ind w:firstLine="480"/>
              <w:rPr>
                <w:rFonts w:ascii="仿宋_GB2312" w:hAnsi="仿宋_GB2312" w:eastAsia="仿宋_GB2312" w:cs="仿宋_GB2312"/>
              </w:rPr>
            </w:pPr>
            <w:r>
              <w:rPr>
                <w:rFonts w:ascii="仿宋_GB2312" w:hAnsi="仿宋_GB2312" w:eastAsia="仿宋_GB2312" w:cs="仿宋_GB2312"/>
              </w:rPr>
              <w:t>13.数据传输系统：日常巡检ETC交易流水（或通行凭证）、所有车辆图像流水记录、车牌等信息的采集和下发过程，发现问题及时分析处理，保障数据完整、稳定、正常传输，减少争议数据产生。必要时人工手动实现数据提取和下发。</w:t>
            </w:r>
          </w:p>
          <w:p w14:paraId="6D193B9D">
            <w:pPr>
              <w:pStyle w:val="6"/>
              <w:ind w:firstLine="480"/>
              <w:rPr>
                <w:rFonts w:ascii="仿宋_GB2312" w:hAnsi="仿宋_GB2312" w:eastAsia="仿宋_GB2312" w:cs="仿宋_GB2312"/>
              </w:rPr>
            </w:pPr>
            <w:r>
              <w:rPr>
                <w:rFonts w:ascii="仿宋_GB2312" w:hAnsi="仿宋_GB2312" w:eastAsia="仿宋_GB2312" w:cs="仿宋_GB2312"/>
              </w:rPr>
              <w:t>14.综合信息平台：日常巡检综合业务处理平台，发现问题及时分析处理，保障省收费中心级、分中心级、收费站级用户可正常使用收费数据确认、退费管理、交易管理、争议处理、清分管理和记账管理等综合信息管理服务。对平台存在的网络安全问题进行升级维护。</w:t>
            </w:r>
          </w:p>
          <w:p w14:paraId="7C10D903">
            <w:pPr>
              <w:pStyle w:val="6"/>
              <w:ind w:firstLine="480"/>
              <w:rPr>
                <w:rFonts w:ascii="仿宋_GB2312" w:hAnsi="仿宋_GB2312" w:eastAsia="仿宋_GB2312" w:cs="仿宋_GB2312"/>
              </w:rPr>
            </w:pPr>
            <w:r>
              <w:rPr>
                <w:rFonts w:ascii="仿宋_GB2312" w:hAnsi="仿宋_GB2312" w:eastAsia="仿宋_GB2312" w:cs="仿宋_GB2312"/>
              </w:rPr>
              <w:t>15.省内及省际对账交易系统：通过日常巡检，保障我省出口车辆的“ETC通行出口交易逾期上传”“ETC通行争议交易不记账”两大类追偿数据正常生成，一是确保省际交易对账与部级对账系统实时数据传输，实现由于外省的原因导致我省通行费漏收的追偿；二是确保省内交易对账实现追偿数据的责任路段分配、处理、异常情况分析处理；对发起出口交易记录未上传追偿数据上传，发起对未收到拆分结果追偿数据上传过程中出现的异常进行分析处理；对下载追偿业务的拆分文件、核对应收应付明细、确认跨省对账通知书、将跨省对账清分通知书、拆分结果等过程中出现的异常进行分析处理。</w:t>
            </w:r>
          </w:p>
          <w:p w14:paraId="2D624658">
            <w:pPr>
              <w:pStyle w:val="6"/>
              <w:ind w:firstLine="480"/>
              <w:rPr>
                <w:rFonts w:ascii="仿宋_GB2312" w:hAnsi="仿宋_GB2312" w:eastAsia="仿宋_GB2312" w:cs="仿宋_GB2312"/>
              </w:rPr>
            </w:pPr>
            <w:r>
              <w:rPr>
                <w:rFonts w:ascii="仿宋_GB2312" w:hAnsi="仿宋_GB2312" w:eastAsia="仿宋_GB2312" w:cs="仿宋_GB2312"/>
              </w:rPr>
              <w:t>16.省级门架应用加速节点系统：定期巡检加速节点系统，清理和优化存储空间，出现问题及时核查处理，保障全省门架系统应用升级和部署加速业务正常运行，支撑全省ETC门架系统的正常使用。</w:t>
            </w:r>
          </w:p>
          <w:p w14:paraId="2E317A5B">
            <w:pPr>
              <w:pStyle w:val="6"/>
              <w:ind w:firstLine="480"/>
              <w:rPr>
                <w:rFonts w:ascii="仿宋_GB2312" w:hAnsi="仿宋_GB2312" w:eastAsia="仿宋_GB2312" w:cs="仿宋_GB2312"/>
              </w:rPr>
            </w:pPr>
            <w:r>
              <w:rPr>
                <w:rFonts w:ascii="仿宋_GB2312" w:hAnsi="仿宋_GB2312" w:eastAsia="仿宋_GB2312" w:cs="仿宋_GB2312"/>
              </w:rPr>
              <w:t>17.车道软件升级：根据部省相关政策要求，结合收费公路运营实际及存在问题，按需开展车道软件功能完善及升级。对软件进行根本性修改或所提出需求超出原功能设计较大范围时，另行签订开发合同。</w:t>
            </w:r>
          </w:p>
          <w:p w14:paraId="3B2FCD79">
            <w:pPr>
              <w:pStyle w:val="6"/>
              <w:ind w:firstLine="480"/>
              <w:rPr>
                <w:rFonts w:ascii="仿宋_GB2312" w:hAnsi="仿宋_GB2312" w:eastAsia="仿宋_GB2312" w:cs="仿宋_GB2312"/>
              </w:rPr>
            </w:pPr>
            <w:r>
              <w:rPr>
                <w:rFonts w:ascii="仿宋_GB2312" w:hAnsi="仿宋_GB2312" w:eastAsia="仿宋_GB2312" w:cs="仿宋_GB2312"/>
              </w:rPr>
              <w:t>18.容器管理平台维护：完成对新入网的车道设备进行适配并录入信息，对新入网的车道工控机进行系统镜像适配，对新入网的车道智能设备（ETC天线、读卡器、移动支付设备等）进行软件对接及接口调试，对新增的智慧化设备（自动发卡机、自动缴费机）进行扩充、适配及信息录入。完成已经入网的设备基本信息进行更新和维护，包括对新增收费车道信息进行录入、对车道类型变更情况进行维护。对新增路段、新增收费站基本信息进行录入、对路段信息变化进行平台更新。</w:t>
            </w:r>
          </w:p>
          <w:p w14:paraId="33EA81AF">
            <w:pPr>
              <w:pStyle w:val="6"/>
              <w:ind w:firstLine="480"/>
              <w:rPr>
                <w:rFonts w:ascii="仿宋_GB2312" w:hAnsi="仿宋_GB2312" w:eastAsia="仿宋_GB2312" w:cs="仿宋_GB2312"/>
              </w:rPr>
            </w:pPr>
            <w:r>
              <w:rPr>
                <w:rFonts w:ascii="仿宋_GB2312" w:hAnsi="仿宋_GB2312" w:eastAsia="仿宋_GB2312" w:cs="仿宋_GB2312"/>
              </w:rPr>
              <w:t>19.应急抢险救灾车辆通行应用系统：日常巡检跨省及省内抢险车辆名单下载和更新、抢险车辆交易流水上传和下载功能，确保抢险车辆信息30分钟以内下载，跨省及省内抢险车辆名单两小时内正常下发到站级，保障车道系统抢险车辆数据的正常流转至清分和结算。</w:t>
            </w:r>
          </w:p>
          <w:p w14:paraId="467DF189">
            <w:pPr>
              <w:pStyle w:val="6"/>
              <w:ind w:firstLine="480"/>
              <w:rPr>
                <w:rFonts w:ascii="仿宋_GB2312" w:hAnsi="仿宋_GB2312" w:eastAsia="仿宋_GB2312" w:cs="仿宋_GB2312"/>
              </w:rPr>
            </w:pPr>
            <w:r>
              <w:rPr>
                <w:rFonts w:ascii="仿宋_GB2312" w:hAnsi="仿宋_GB2312" w:eastAsia="仿宋_GB2312" w:cs="仿宋_GB2312"/>
              </w:rPr>
              <w:t>20.高速公路收费运营管理信息化系统（一期）：对于使用手机、电脑等多类终端登录系统过程中，不同权限账号查看相关展现的内容出现的问题进行维护和处理。对无法正常显示收费站名单版本，提示未及时更新名单的收费站，车道发生时间异常的警示消息进行问题分析处理。</w:t>
            </w:r>
          </w:p>
          <w:p w14:paraId="23A026E5">
            <w:pPr>
              <w:pStyle w:val="6"/>
              <w:ind w:firstLine="480"/>
              <w:rPr>
                <w:rFonts w:ascii="宋体" w:hAnsi="宋体" w:eastAsia="宋体" w:cs="宋体"/>
                <w:lang w:eastAsia="zh-CN"/>
              </w:rPr>
            </w:pPr>
            <w:r>
              <w:rPr>
                <w:rFonts w:ascii="仿宋_GB2312" w:hAnsi="仿宋_GB2312" w:eastAsia="仿宋_GB2312" w:cs="仿宋_GB2312"/>
              </w:rPr>
              <w:t>21.应用系统安全相关维护：包括对应用业务系统存在的安全漏洞，使用的中间件如tomcat，Nginx，nacos，redis，zookeeper等产品的漏洞升级。</w:t>
            </w:r>
          </w:p>
        </w:tc>
      </w:tr>
      <w:tr w14:paraId="260259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5" w:type="dxa"/>
          </w:tcPr>
          <w:p w14:paraId="1EDC47DB">
            <w:pPr>
              <w:pStyle w:val="6"/>
              <w:spacing w:line="460" w:lineRule="exact"/>
              <w:rPr>
                <w:rFonts w:ascii="宋体" w:hAnsi="宋体" w:eastAsia="宋体" w:cs="宋体"/>
                <w:lang w:eastAsia="zh-CN"/>
              </w:rPr>
            </w:pPr>
          </w:p>
        </w:tc>
        <w:tc>
          <w:tcPr>
            <w:tcW w:w="993" w:type="dxa"/>
          </w:tcPr>
          <w:p w14:paraId="03BD5EF3">
            <w:pPr>
              <w:spacing w:line="460" w:lineRule="exact"/>
              <w:rPr>
                <w:rFonts w:hint="eastAsia" w:ascii="宋体" w:hAnsi="宋体" w:cs="宋体"/>
                <w:sz w:val="20"/>
                <w:szCs w:val="20"/>
              </w:rPr>
            </w:pPr>
          </w:p>
        </w:tc>
        <w:tc>
          <w:tcPr>
            <w:tcW w:w="6639" w:type="dxa"/>
          </w:tcPr>
          <w:p w14:paraId="08D7EA13">
            <w:pPr>
              <w:pStyle w:val="6"/>
              <w:rPr>
                <w:rFonts w:ascii="仿宋_GB2312" w:hAnsi="仿宋_GB2312" w:eastAsia="仿宋_GB2312" w:cs="仿宋_GB2312"/>
                <w:b/>
                <w:bCs/>
              </w:rPr>
            </w:pPr>
            <w:r>
              <w:rPr>
                <w:rFonts w:ascii="仿宋_GB2312" w:hAnsi="仿宋_GB2312" w:eastAsia="仿宋_GB2312" w:cs="仿宋_GB2312"/>
                <w:b/>
                <w:bCs/>
              </w:rPr>
              <w:t>（二）费率编制服务</w:t>
            </w:r>
          </w:p>
          <w:p w14:paraId="5E3BA169">
            <w:pPr>
              <w:pStyle w:val="6"/>
              <w:ind w:firstLine="480"/>
              <w:rPr>
                <w:rFonts w:ascii="仿宋_GB2312" w:hAnsi="仿宋_GB2312" w:eastAsia="仿宋_GB2312" w:cs="仿宋_GB2312"/>
                <w:b/>
                <w:bCs/>
              </w:rPr>
            </w:pPr>
            <w:r>
              <w:rPr>
                <w:rFonts w:ascii="仿宋_GB2312" w:hAnsi="仿宋_GB2312" w:eastAsia="仿宋_GB2312" w:cs="仿宋_GB2312"/>
                <w:b/>
                <w:bCs/>
              </w:rPr>
              <w:t>1.费率库升级</w:t>
            </w:r>
          </w:p>
          <w:p w14:paraId="30AC1010">
            <w:pPr>
              <w:pStyle w:val="6"/>
              <w:ind w:firstLine="480"/>
              <w:rPr>
                <w:rFonts w:ascii="仿宋_GB2312" w:hAnsi="仿宋_GB2312" w:eastAsia="仿宋_GB2312" w:cs="仿宋_GB2312"/>
              </w:rPr>
            </w:pPr>
            <w:r>
              <w:rPr>
                <w:rFonts w:ascii="仿宋_GB2312" w:hAnsi="仿宋_GB2312" w:eastAsia="仿宋_GB2312" w:cs="仿宋_GB2312"/>
              </w:rPr>
              <w:t>（1）生成计费参数</w:t>
            </w:r>
          </w:p>
          <w:p w14:paraId="53F10443">
            <w:pPr>
              <w:pStyle w:val="6"/>
              <w:ind w:firstLine="480"/>
              <w:rPr>
                <w:rFonts w:ascii="仿宋_GB2312" w:hAnsi="仿宋_GB2312" w:eastAsia="仿宋_GB2312" w:cs="仿宋_GB2312"/>
              </w:rPr>
            </w:pPr>
            <w:r>
              <w:rPr>
                <w:rFonts w:ascii="仿宋_GB2312" w:hAnsi="仿宋_GB2312" w:eastAsia="仿宋_GB2312" w:cs="仿宋_GB2312"/>
              </w:rPr>
              <w:t>根据省中心提供的路径参数数据，对不同的收费车型、单元里程、路段基价、桥隧加收以及特情条件，计算生成全省所有的计费参数。</w:t>
            </w:r>
          </w:p>
          <w:p w14:paraId="603D5EFF">
            <w:pPr>
              <w:pStyle w:val="6"/>
              <w:ind w:firstLine="480"/>
              <w:rPr>
                <w:rFonts w:ascii="仿宋_GB2312" w:hAnsi="仿宋_GB2312" w:eastAsia="仿宋_GB2312" w:cs="仿宋_GB2312"/>
              </w:rPr>
            </w:pPr>
            <w:r>
              <w:rPr>
                <w:rFonts w:ascii="仿宋_GB2312" w:hAnsi="仿宋_GB2312" w:eastAsia="仿宋_GB2312" w:cs="仿宋_GB2312"/>
              </w:rPr>
              <w:t>（2）生成计费模块</w:t>
            </w:r>
          </w:p>
          <w:p w14:paraId="2D72429E">
            <w:pPr>
              <w:pStyle w:val="6"/>
              <w:ind w:firstLine="480"/>
              <w:rPr>
                <w:rFonts w:ascii="仿宋_GB2312" w:hAnsi="仿宋_GB2312" w:eastAsia="仿宋_GB2312" w:cs="仿宋_GB2312"/>
              </w:rPr>
            </w:pPr>
            <w:r>
              <w:rPr>
                <w:rFonts w:ascii="仿宋_GB2312" w:hAnsi="仿宋_GB2312" w:eastAsia="仿宋_GB2312" w:cs="仿宋_GB2312"/>
              </w:rPr>
              <w:t>按照新的路径参数和计费参数，遵照和兼容部级和省级相关计费原则，生成本省计费模块。计费模块能满足部级平台的性能和规格要求，同时满足本省对路径拟合、特情处理、优惠政策、包缴业务等收费业务需求。</w:t>
            </w:r>
          </w:p>
          <w:p w14:paraId="1372630B">
            <w:pPr>
              <w:pStyle w:val="6"/>
              <w:ind w:firstLine="480"/>
              <w:rPr>
                <w:rFonts w:ascii="仿宋_GB2312" w:hAnsi="仿宋_GB2312" w:eastAsia="仿宋_GB2312" w:cs="仿宋_GB2312"/>
              </w:rPr>
            </w:pPr>
            <w:r>
              <w:rPr>
                <w:rFonts w:ascii="仿宋_GB2312" w:hAnsi="仿宋_GB2312" w:eastAsia="仿宋_GB2312" w:cs="仿宋_GB2312"/>
              </w:rPr>
              <w:t>（3）上传费率数据到部级费率平台并完成验证</w:t>
            </w:r>
          </w:p>
          <w:p w14:paraId="264E66F4">
            <w:pPr>
              <w:pStyle w:val="6"/>
              <w:ind w:firstLine="480"/>
              <w:rPr>
                <w:rFonts w:ascii="仿宋_GB2312" w:hAnsi="仿宋_GB2312" w:eastAsia="仿宋_GB2312" w:cs="仿宋_GB2312"/>
              </w:rPr>
            </w:pPr>
            <w:r>
              <w:rPr>
                <w:rFonts w:ascii="仿宋_GB2312" w:hAnsi="仿宋_GB2312" w:eastAsia="仿宋_GB2312" w:cs="仿宋_GB2312"/>
              </w:rPr>
              <w:t>在部级费率系统要求的时间期限内，对计费参数和计费模块进行审核测试后，上传到部级费率平台，通过部级平台的业务审核验证。</w:t>
            </w:r>
          </w:p>
          <w:p w14:paraId="28D05CD5">
            <w:pPr>
              <w:pStyle w:val="6"/>
              <w:ind w:firstLine="480"/>
              <w:rPr>
                <w:rFonts w:ascii="仿宋_GB2312" w:hAnsi="仿宋_GB2312" w:eastAsia="仿宋_GB2312" w:cs="仿宋_GB2312"/>
              </w:rPr>
            </w:pPr>
            <w:r>
              <w:rPr>
                <w:rFonts w:ascii="仿宋_GB2312" w:hAnsi="仿宋_GB2312" w:eastAsia="仿宋_GB2312" w:cs="仿宋_GB2312"/>
              </w:rPr>
              <w:t>（4）下载启用全网入出口可达路径最小费额库</w:t>
            </w:r>
          </w:p>
          <w:p w14:paraId="5C862813">
            <w:pPr>
              <w:pStyle w:val="6"/>
              <w:ind w:firstLine="480"/>
              <w:rPr>
                <w:rFonts w:ascii="仿宋_GB2312" w:hAnsi="仿宋_GB2312" w:eastAsia="仿宋_GB2312" w:cs="仿宋_GB2312"/>
              </w:rPr>
            </w:pPr>
            <w:r>
              <w:rPr>
                <w:rFonts w:ascii="仿宋_GB2312" w:hAnsi="仿宋_GB2312" w:eastAsia="仿宋_GB2312" w:cs="仿宋_GB2312"/>
              </w:rPr>
              <w:t>部级费率系统生成新的全网入出口可达路径最小费额库后，及时下载相关数据文件，并对该数据合并整理成本省收费规格，及时下发到所有收费车道，并在规定时间内完成启用。整理导入省中心数据库，支撑省级清分系统的应用需求。</w:t>
            </w:r>
          </w:p>
          <w:p w14:paraId="21BC52CC">
            <w:pPr>
              <w:pStyle w:val="6"/>
              <w:ind w:firstLine="480"/>
              <w:rPr>
                <w:rFonts w:ascii="仿宋_GB2312" w:hAnsi="仿宋_GB2312" w:eastAsia="仿宋_GB2312" w:cs="仿宋_GB2312"/>
              </w:rPr>
            </w:pPr>
            <w:r>
              <w:rPr>
                <w:rFonts w:ascii="仿宋_GB2312" w:hAnsi="仿宋_GB2312" w:eastAsia="仿宋_GB2312" w:cs="仿宋_GB2312"/>
              </w:rPr>
              <w:t>（5）单独全网最小费率升级服务</w:t>
            </w:r>
          </w:p>
          <w:p w14:paraId="50C1132E">
            <w:pPr>
              <w:pStyle w:val="6"/>
              <w:ind w:firstLine="480"/>
              <w:rPr>
                <w:rFonts w:ascii="仿宋_GB2312" w:hAnsi="仿宋_GB2312" w:eastAsia="仿宋_GB2312" w:cs="仿宋_GB2312"/>
              </w:rPr>
            </w:pPr>
            <w:r>
              <w:rPr>
                <w:rFonts w:ascii="仿宋_GB2312" w:hAnsi="仿宋_GB2312" w:eastAsia="仿宋_GB2312" w:cs="仿宋_GB2312"/>
              </w:rPr>
              <w:t>单独的全网最小费率升级服务，一般仅包括全网入出口可达路径最小费额库的下载分发工作，工作内容同上。</w:t>
            </w:r>
          </w:p>
          <w:p w14:paraId="1A09B8F6">
            <w:pPr>
              <w:pStyle w:val="6"/>
              <w:ind w:firstLine="480"/>
              <w:rPr>
                <w:rFonts w:ascii="仿宋_GB2312" w:hAnsi="仿宋_GB2312" w:eastAsia="仿宋_GB2312" w:cs="仿宋_GB2312"/>
                <w:b/>
                <w:bCs/>
              </w:rPr>
            </w:pPr>
            <w:r>
              <w:rPr>
                <w:rFonts w:ascii="仿宋_GB2312" w:hAnsi="仿宋_GB2312" w:eastAsia="仿宋_GB2312" w:cs="仿宋_GB2312"/>
                <w:b/>
                <w:bCs/>
              </w:rPr>
              <w:t>2.省内最小费额阈值优化调整</w:t>
            </w:r>
          </w:p>
          <w:p w14:paraId="12F04135">
            <w:pPr>
              <w:pStyle w:val="6"/>
              <w:ind w:firstLine="480"/>
              <w:rPr>
                <w:rFonts w:ascii="仿宋_GB2312" w:hAnsi="仿宋_GB2312" w:eastAsia="仿宋_GB2312" w:cs="仿宋_GB2312"/>
              </w:rPr>
            </w:pPr>
            <w:r>
              <w:rPr>
                <w:rFonts w:ascii="仿宋_GB2312" w:hAnsi="仿宋_GB2312" w:eastAsia="仿宋_GB2312" w:cs="仿宋_GB2312"/>
              </w:rPr>
              <w:t>满足计费合理化需求，对省内最小费额设置的阈值进行调查、分析、论证，进而优化调整。</w:t>
            </w:r>
          </w:p>
          <w:p w14:paraId="44196AF9">
            <w:pPr>
              <w:pStyle w:val="6"/>
              <w:keepNext w:val="0"/>
              <w:keepLines w:val="0"/>
              <w:pageBreakBefore w:val="0"/>
              <w:kinsoku/>
              <w:wordWrap/>
              <w:overflowPunct/>
              <w:topLinePunct w:val="0"/>
              <w:autoSpaceDE/>
              <w:autoSpaceDN/>
              <w:bidi w:val="0"/>
              <w:adjustRightInd/>
              <w:snapToGrid/>
              <w:spacing w:line="460" w:lineRule="exact"/>
              <w:ind w:firstLine="400" w:firstLineChars="200"/>
              <w:jc w:val="both"/>
              <w:textAlignment w:val="auto"/>
              <w:rPr>
                <w:rFonts w:ascii="仿宋_GB2312" w:hAnsi="仿宋_GB2312" w:eastAsia="仿宋_GB2312" w:cs="仿宋_GB2312"/>
                <w:lang w:eastAsia="zh-CN"/>
              </w:rPr>
            </w:pPr>
            <w:r>
              <w:rPr>
                <w:rFonts w:hint="eastAsia" w:ascii="仿宋_GB2312" w:hAnsi="仿宋_GB2312" w:eastAsia="仿宋_GB2312" w:cs="仿宋_GB2312"/>
                <w:lang w:val="en-US" w:eastAsia="zh-CN"/>
              </w:rPr>
              <w:t>3.</w:t>
            </w:r>
            <w:r>
              <w:rPr>
                <w:rFonts w:hint="eastAsia" w:ascii="仿宋_GB2312" w:hAnsi="仿宋_GB2312" w:eastAsia="仿宋_GB2312" w:cs="仿宋_GB2312"/>
                <w:highlight w:val="none"/>
                <w:lang w:val="en-US" w:eastAsia="zh-CN"/>
              </w:rPr>
              <w:t>费率库升级1次或省内最小费额阈值调整1次，支付该项单项报价总额的20%；合同期内费率库升级及省内最小费额阈值调整次数超过5次仍按5次计算，累计支付总额不超过该项单项报价总额。</w:t>
            </w:r>
          </w:p>
        </w:tc>
      </w:tr>
      <w:tr w14:paraId="4112B3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5" w:type="dxa"/>
          </w:tcPr>
          <w:p w14:paraId="482587DC">
            <w:pPr>
              <w:pStyle w:val="6"/>
              <w:spacing w:line="460" w:lineRule="exact"/>
              <w:rPr>
                <w:rFonts w:ascii="宋体" w:hAnsi="宋体" w:eastAsia="宋体" w:cs="宋体"/>
                <w:lang w:eastAsia="zh-CN"/>
              </w:rPr>
            </w:pPr>
          </w:p>
        </w:tc>
        <w:tc>
          <w:tcPr>
            <w:tcW w:w="993" w:type="dxa"/>
          </w:tcPr>
          <w:p w14:paraId="62D9F0D7">
            <w:pPr>
              <w:spacing w:line="460" w:lineRule="exact"/>
              <w:rPr>
                <w:rFonts w:hint="eastAsia" w:ascii="宋体" w:hAnsi="宋体" w:cs="宋体"/>
                <w:sz w:val="20"/>
                <w:szCs w:val="20"/>
              </w:rPr>
            </w:pPr>
          </w:p>
        </w:tc>
        <w:tc>
          <w:tcPr>
            <w:tcW w:w="6639" w:type="dxa"/>
          </w:tcPr>
          <w:p w14:paraId="25782561">
            <w:pPr>
              <w:pStyle w:val="6"/>
              <w:rPr>
                <w:rFonts w:ascii="仿宋_GB2312" w:hAnsi="仿宋_GB2312" w:eastAsia="仿宋_GB2312" w:cs="仿宋_GB2312"/>
                <w:b/>
                <w:bCs/>
              </w:rPr>
            </w:pPr>
            <w:r>
              <w:rPr>
                <w:rFonts w:ascii="仿宋_GB2312" w:hAnsi="仿宋_GB2312" w:eastAsia="仿宋_GB2312" w:cs="仿宋_GB2312"/>
                <w:b/>
                <w:bCs/>
              </w:rPr>
              <w:t>（三）</w:t>
            </w:r>
            <w:bookmarkStart w:id="0" w:name="OLE_LINK19"/>
            <w:r>
              <w:rPr>
                <w:rFonts w:ascii="仿宋_GB2312" w:hAnsi="仿宋_GB2312" w:eastAsia="仿宋_GB2312" w:cs="仿宋_GB2312"/>
                <w:b/>
                <w:bCs/>
              </w:rPr>
              <w:t>CPC卡发行系统软件维护（含国密省收费中心系统）</w:t>
            </w:r>
            <w:bookmarkEnd w:id="0"/>
          </w:p>
          <w:p w14:paraId="5DF953DA">
            <w:pPr>
              <w:pStyle w:val="6"/>
              <w:ind w:firstLine="480"/>
              <w:rPr>
                <w:rFonts w:ascii="宋体" w:hAnsi="宋体" w:eastAsia="宋体" w:cs="宋体"/>
                <w:lang w:eastAsia="zh-CN"/>
              </w:rPr>
            </w:pPr>
            <w:r>
              <w:rPr>
                <w:rFonts w:ascii="仿宋_GB2312" w:hAnsi="仿宋_GB2312" w:eastAsia="仿宋_GB2312" w:cs="仿宋_GB2312"/>
              </w:rPr>
              <w:t>作为收费公路联网收费车辆通行凭证，以保障联网收费工作正常运行稳定、安全、不间断运行，确保软件系统在突发问题时可及时得到维修和技术支持，并快速解决故障。</w:t>
            </w:r>
          </w:p>
        </w:tc>
      </w:tr>
      <w:tr w14:paraId="458030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31" w:hRule="atLeast"/>
        </w:trPr>
        <w:tc>
          <w:tcPr>
            <w:tcW w:w="675" w:type="dxa"/>
          </w:tcPr>
          <w:p w14:paraId="0583D9C1">
            <w:pPr>
              <w:pStyle w:val="6"/>
              <w:spacing w:line="460" w:lineRule="exact"/>
              <w:rPr>
                <w:rFonts w:ascii="宋体" w:hAnsi="宋体" w:eastAsia="宋体" w:cs="宋体"/>
                <w:lang w:eastAsia="zh-CN"/>
              </w:rPr>
            </w:pPr>
          </w:p>
        </w:tc>
        <w:tc>
          <w:tcPr>
            <w:tcW w:w="993" w:type="dxa"/>
          </w:tcPr>
          <w:p w14:paraId="2E4575CA">
            <w:pPr>
              <w:spacing w:line="460" w:lineRule="exact"/>
              <w:rPr>
                <w:rFonts w:hint="eastAsia" w:ascii="宋体" w:hAnsi="宋体" w:cs="宋体"/>
                <w:sz w:val="20"/>
                <w:szCs w:val="20"/>
              </w:rPr>
            </w:pPr>
          </w:p>
        </w:tc>
        <w:tc>
          <w:tcPr>
            <w:tcW w:w="6639" w:type="dxa"/>
          </w:tcPr>
          <w:p w14:paraId="0D8971A7">
            <w:pPr>
              <w:pStyle w:val="6"/>
              <w:rPr>
                <w:rFonts w:ascii="仿宋_GB2312" w:hAnsi="仿宋_GB2312" w:eastAsia="仿宋_GB2312" w:cs="仿宋_GB2312"/>
                <w:b/>
                <w:bCs/>
              </w:rPr>
            </w:pPr>
            <w:r>
              <w:rPr>
                <w:rFonts w:ascii="仿宋_GB2312" w:hAnsi="仿宋_GB2312" w:eastAsia="仿宋_GB2312" w:cs="仿宋_GB2312"/>
                <w:b/>
                <w:bCs/>
              </w:rPr>
              <w:t>三、服务要求</w:t>
            </w:r>
          </w:p>
          <w:p w14:paraId="6CD9D899">
            <w:pPr>
              <w:pStyle w:val="6"/>
              <w:rPr>
                <w:rFonts w:ascii="仿宋_GB2312" w:hAnsi="仿宋_GB2312" w:eastAsia="仿宋_GB2312" w:cs="仿宋_GB2312"/>
                <w:b/>
                <w:bCs/>
              </w:rPr>
            </w:pPr>
            <w:r>
              <w:rPr>
                <w:rFonts w:ascii="仿宋_GB2312" w:hAnsi="仿宋_GB2312" w:eastAsia="仿宋_GB2312" w:cs="仿宋_GB2312"/>
                <w:b/>
                <w:bCs/>
              </w:rPr>
              <w:t>（一）服务基本要求</w:t>
            </w:r>
          </w:p>
          <w:p w14:paraId="7C5769FA">
            <w:pPr>
              <w:pStyle w:val="6"/>
              <w:rPr>
                <w:rFonts w:ascii="仿宋_GB2312" w:hAnsi="仿宋_GB2312" w:eastAsia="仿宋_GB2312" w:cs="仿宋_GB2312"/>
                <w:b/>
                <w:bCs/>
              </w:rPr>
            </w:pPr>
            <w:r>
              <w:rPr>
                <w:rFonts w:ascii="仿宋_GB2312" w:hAnsi="仿宋_GB2312" w:eastAsia="仿宋_GB2312" w:cs="仿宋_GB2312"/>
                <w:b/>
                <w:bCs/>
              </w:rPr>
              <w:t>1.服务时间：</w:t>
            </w:r>
          </w:p>
          <w:p w14:paraId="40899A86">
            <w:pPr>
              <w:pStyle w:val="6"/>
              <w:ind w:firstLine="480"/>
              <w:rPr>
                <w:rFonts w:ascii="仿宋_GB2312" w:hAnsi="仿宋_GB2312" w:eastAsia="仿宋_GB2312" w:cs="仿宋_GB2312"/>
                <w:highlight w:val="none"/>
              </w:rPr>
            </w:pPr>
            <w:r>
              <w:rPr>
                <w:rFonts w:ascii="仿宋_GB2312" w:hAnsi="仿宋_GB2312" w:eastAsia="仿宋_GB2312" w:cs="仿宋_GB2312"/>
                <w:highlight w:val="none"/>
              </w:rPr>
              <w:t>（1）省收费中心联网收费系统应用软件维护：</w:t>
            </w:r>
            <w:bookmarkStart w:id="1" w:name="OLE_LINK20"/>
            <w:r>
              <w:rPr>
                <w:rFonts w:ascii="仿宋_GB2312" w:hAnsi="仿宋_GB2312" w:eastAsia="仿宋_GB2312" w:cs="仿宋_GB2312"/>
                <w:highlight w:val="none"/>
              </w:rPr>
              <w:t>2026年7月1日至2027年6月30月。</w:t>
            </w:r>
          </w:p>
          <w:bookmarkEnd w:id="1"/>
          <w:p w14:paraId="79F9E682">
            <w:pPr>
              <w:pStyle w:val="6"/>
              <w:ind w:firstLine="480"/>
              <w:rPr>
                <w:rFonts w:ascii="仿宋_GB2312" w:hAnsi="仿宋_GB2312" w:eastAsia="仿宋_GB2312" w:cs="仿宋_GB2312"/>
                <w:highlight w:val="none"/>
                <w:lang w:eastAsia="zh-CN"/>
              </w:rPr>
            </w:pPr>
            <w:r>
              <w:rPr>
                <w:rFonts w:ascii="仿宋_GB2312" w:hAnsi="仿宋_GB2312" w:eastAsia="仿宋_GB2312" w:cs="仿宋_GB2312"/>
                <w:highlight w:val="none"/>
              </w:rPr>
              <w:t>（2）费率库升级服务时间：2026年10月1日至2027年9月30日。</w:t>
            </w:r>
          </w:p>
          <w:p w14:paraId="340D7210">
            <w:pPr>
              <w:pStyle w:val="6"/>
              <w:ind w:firstLine="480"/>
              <w:rPr>
                <w:rFonts w:ascii="仿宋_GB2312" w:hAnsi="仿宋_GB2312" w:eastAsia="仿宋_GB2312" w:cs="仿宋_GB2312"/>
                <w:highlight w:val="none"/>
                <w:lang w:eastAsia="zh-CN"/>
              </w:rPr>
            </w:pPr>
            <w:r>
              <w:rPr>
                <w:rFonts w:ascii="仿宋_GB2312" w:hAnsi="仿宋_GB2312" w:eastAsia="仿宋_GB2312" w:cs="仿宋_GB2312"/>
                <w:highlight w:val="none"/>
                <w:lang w:eastAsia="zh-CN"/>
              </w:rPr>
              <w:t>（3）CPC卡发行系统软件维护（含国密省收费中心系统）：2026年7月1日至2027年6月30月。</w:t>
            </w:r>
          </w:p>
          <w:p w14:paraId="28041DB4">
            <w:pPr>
              <w:pStyle w:val="6"/>
              <w:rPr>
                <w:rFonts w:ascii="仿宋_GB2312" w:hAnsi="仿宋_GB2312" w:eastAsia="仿宋_GB2312" w:cs="仿宋_GB2312"/>
                <w:b/>
                <w:bCs/>
              </w:rPr>
            </w:pPr>
            <w:r>
              <w:rPr>
                <w:rFonts w:ascii="仿宋_GB2312" w:hAnsi="仿宋_GB2312" w:eastAsia="仿宋_GB2312" w:cs="仿宋_GB2312"/>
                <w:b/>
                <w:bCs/>
              </w:rPr>
              <w:t>2.服务地点：</w:t>
            </w:r>
            <w:r>
              <w:rPr>
                <w:rFonts w:ascii="仿宋_GB2312" w:hAnsi="仿宋_GB2312" w:eastAsia="仿宋_GB2312" w:cs="仿宋_GB2312"/>
              </w:rPr>
              <w:t>陕西省高速公路收费中心</w:t>
            </w:r>
          </w:p>
          <w:p w14:paraId="40F4562A">
            <w:pPr>
              <w:pStyle w:val="6"/>
              <w:rPr>
                <w:rFonts w:ascii="仿宋_GB2312" w:hAnsi="仿宋_GB2312" w:eastAsia="仿宋_GB2312" w:cs="仿宋_GB2312"/>
              </w:rPr>
            </w:pPr>
            <w:r>
              <w:rPr>
                <w:rFonts w:ascii="仿宋_GB2312" w:hAnsi="仿宋_GB2312" w:eastAsia="仿宋_GB2312" w:cs="仿宋_GB2312"/>
              </w:rPr>
              <w:t>3.供应商应配合采购方在法定时间内完成合同的签订工作，签订地点由采购方指定。</w:t>
            </w:r>
          </w:p>
          <w:p w14:paraId="789A5695">
            <w:pPr>
              <w:pStyle w:val="6"/>
              <w:rPr>
                <w:rFonts w:ascii="仿宋_GB2312" w:hAnsi="仿宋_GB2312" w:eastAsia="仿宋_GB2312" w:cs="仿宋_GB2312"/>
                <w:b/>
                <w:bCs/>
              </w:rPr>
            </w:pPr>
            <w:r>
              <w:rPr>
                <w:rFonts w:ascii="仿宋_GB2312" w:hAnsi="仿宋_GB2312" w:eastAsia="仿宋_GB2312" w:cs="仿宋_GB2312"/>
                <w:b/>
                <w:bCs/>
              </w:rPr>
              <w:t>4.技术支持服务：</w:t>
            </w:r>
          </w:p>
          <w:p w14:paraId="53F87D5A">
            <w:pPr>
              <w:pStyle w:val="6"/>
              <w:ind w:firstLine="480"/>
              <w:rPr>
                <w:rFonts w:ascii="仿宋_GB2312" w:hAnsi="仿宋_GB2312" w:eastAsia="仿宋_GB2312" w:cs="仿宋_GB2312"/>
              </w:rPr>
            </w:pPr>
            <w:r>
              <w:rPr>
                <w:rFonts w:ascii="仿宋_GB2312" w:hAnsi="仿宋_GB2312" w:eastAsia="仿宋_GB2312" w:cs="仿宋_GB2312"/>
              </w:rPr>
              <w:t>（1）合同期内对维护范围内的业务系统进行日常巡查或通过远程进行维护。按照部路网中心关于已有业务系统的技术调整，及时完成相应系统调整。</w:t>
            </w:r>
          </w:p>
          <w:p w14:paraId="7EEDBCD5">
            <w:pPr>
              <w:pStyle w:val="6"/>
              <w:ind w:firstLine="480"/>
              <w:rPr>
                <w:rFonts w:ascii="仿宋_GB2312" w:hAnsi="仿宋_GB2312" w:eastAsia="仿宋_GB2312" w:cs="仿宋_GB2312"/>
              </w:rPr>
            </w:pPr>
            <w:r>
              <w:rPr>
                <w:rFonts w:ascii="仿宋_GB2312" w:hAnsi="仿宋_GB2312" w:eastAsia="仿宋_GB2312" w:cs="仿宋_GB2312"/>
              </w:rPr>
              <w:t>（2）合同期内配合省收费中心完善新通车路段入并网相关系统调试工作，承担陕西省高速公路新通车路段接入省收费中心的技术支持、调试、系统调整等工作。</w:t>
            </w:r>
          </w:p>
          <w:p w14:paraId="0172411A">
            <w:pPr>
              <w:pStyle w:val="6"/>
              <w:ind w:firstLine="480"/>
              <w:rPr>
                <w:rFonts w:ascii="仿宋_GB2312" w:hAnsi="仿宋_GB2312" w:eastAsia="仿宋_GB2312" w:cs="仿宋_GB2312"/>
              </w:rPr>
            </w:pPr>
            <w:r>
              <w:rPr>
                <w:rFonts w:ascii="仿宋_GB2312" w:hAnsi="仿宋_GB2312" w:eastAsia="仿宋_GB2312" w:cs="仿宋_GB2312"/>
              </w:rPr>
              <w:t>（3）收到新收费标准及对应的路径参数信息后5个工作日内生成全省计费参数和计费模块，及时上传部费率平台并完成费率核验。部费率平台生成全国最小费额表后，按照费率调整工作要求及费率发布周期要求更新至全省的收费车道、省中心费率库，保障新的收费标准费率调整按期实施。若政策和路径参数等信息发生改变，工作周期按上述流程重新计算。</w:t>
            </w:r>
          </w:p>
          <w:p w14:paraId="17383087">
            <w:pPr>
              <w:pStyle w:val="6"/>
              <w:ind w:firstLine="480"/>
              <w:rPr>
                <w:rFonts w:ascii="仿宋_GB2312" w:hAnsi="仿宋_GB2312" w:eastAsia="仿宋_GB2312" w:cs="仿宋_GB2312"/>
              </w:rPr>
            </w:pPr>
            <w:r>
              <w:rPr>
                <w:rFonts w:ascii="仿宋_GB2312" w:hAnsi="仿宋_GB2312" w:eastAsia="仿宋_GB2312" w:cs="仿宋_GB2312"/>
              </w:rPr>
              <w:t>（4）做好重要节假日（春节、清明节、劳动节、国庆节）应用系统切换及维护工作；配合省收费中心做好操作系统漏洞升级工作；提前告知省收费中心并经省收费中心书面确认后，方可开展车道软件各类调整。</w:t>
            </w:r>
          </w:p>
          <w:p w14:paraId="61AA79B8">
            <w:pPr>
              <w:pStyle w:val="6"/>
              <w:ind w:firstLine="480"/>
              <w:rPr>
                <w:rFonts w:ascii="仿宋_GB2312" w:hAnsi="仿宋_GB2312" w:eastAsia="仿宋_GB2312" w:cs="仿宋_GB2312"/>
              </w:rPr>
            </w:pPr>
            <w:r>
              <w:rPr>
                <w:rFonts w:ascii="仿宋_GB2312" w:hAnsi="仿宋_GB2312" w:eastAsia="仿宋_GB2312" w:cs="仿宋_GB2312"/>
              </w:rPr>
              <w:t>（5）合同期内对业务系统出现的异常问题（如争议数据协查，发票未正常上传、退费补缴异常）进行解决和处理，处理情况及时向省收费中心进行汇报。</w:t>
            </w:r>
          </w:p>
          <w:p w14:paraId="2F249E3D">
            <w:pPr>
              <w:pStyle w:val="6"/>
              <w:ind w:firstLine="480"/>
              <w:rPr>
                <w:rFonts w:ascii="仿宋_GB2312" w:hAnsi="仿宋_GB2312" w:eastAsia="仿宋_GB2312" w:cs="仿宋_GB2312"/>
                <w:lang w:eastAsia="zh-CN"/>
              </w:rPr>
            </w:pPr>
            <w:r>
              <w:rPr>
                <w:rFonts w:ascii="仿宋_GB2312" w:hAnsi="仿宋_GB2312" w:eastAsia="仿宋_GB2312" w:cs="仿宋_GB2312"/>
              </w:rPr>
              <w:t>（6）针对维护范围内的业务系统出现的各类故障及问题，应及时应答和解决，确保收费系统日常关键性工作顺利完成。硬件设备运行正常的情况下，软件业务系统恢复正常响应详见下列表：</w:t>
            </w:r>
          </w:p>
          <w:tbl>
            <w:tblPr>
              <w:tblStyle w:val="4"/>
              <w:tblpPr w:leftFromText="180" w:rightFromText="180" w:vertAnchor="text" w:horzAnchor="page" w:tblpX="2017" w:tblpY="24"/>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6"/>
              <w:gridCol w:w="958"/>
              <w:gridCol w:w="2058"/>
            </w:tblGrid>
            <w:tr w14:paraId="26AE6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2648" w:type="pct"/>
                  <w:vAlign w:val="center"/>
                </w:tcPr>
                <w:p w14:paraId="1B409407">
                  <w:pPr>
                    <w:pStyle w:val="2"/>
                    <w:numPr>
                      <w:ilvl w:val="3"/>
                      <w:numId w:val="0"/>
                    </w:numPr>
                    <w:jc w:val="cente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系统类型</w:t>
                  </w:r>
                </w:p>
              </w:tc>
              <w:tc>
                <w:tcPr>
                  <w:tcW w:w="747" w:type="pct"/>
                  <w:vAlign w:val="center"/>
                </w:tcPr>
                <w:p w14:paraId="177B824C">
                  <w:pPr>
                    <w:pStyle w:val="2"/>
                    <w:numPr>
                      <w:ilvl w:val="3"/>
                      <w:numId w:val="0"/>
                    </w:numPr>
                    <w:jc w:val="cente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响应时间</w:t>
                  </w:r>
                </w:p>
              </w:tc>
              <w:tc>
                <w:tcPr>
                  <w:tcW w:w="1604" w:type="pct"/>
                  <w:vAlign w:val="center"/>
                </w:tcPr>
                <w:p w14:paraId="78426876">
                  <w:pPr>
                    <w:pStyle w:val="2"/>
                    <w:numPr>
                      <w:ilvl w:val="3"/>
                      <w:numId w:val="0"/>
                    </w:numPr>
                    <w:jc w:val="cente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故障处理完成时间</w:t>
                  </w:r>
                </w:p>
              </w:tc>
            </w:tr>
            <w:tr w14:paraId="5FC7E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trPr>
              <w:tc>
                <w:tcPr>
                  <w:tcW w:w="2648" w:type="pct"/>
                  <w:vAlign w:val="center"/>
                </w:tcPr>
                <w:p w14:paraId="0AFE8330">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用户状态名单管理系统</w:t>
                  </w:r>
                </w:p>
                <w:p w14:paraId="60FB8008">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数据传输系统</w:t>
                  </w:r>
                </w:p>
                <w:p w14:paraId="2B6BAA91">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发行系统数据交互系统</w:t>
                  </w:r>
                </w:p>
                <w:p w14:paraId="5C7B5996">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数据汇聚系统</w:t>
                  </w:r>
                </w:p>
                <w:p w14:paraId="0328B254">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清分系统数据汇聚系统</w:t>
                  </w:r>
                </w:p>
                <w:p w14:paraId="4B4DE408">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部省数据交互系统</w:t>
                  </w:r>
                </w:p>
                <w:p w14:paraId="0631E47F">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容器管理平台系统</w:t>
                  </w:r>
                </w:p>
                <w:p w14:paraId="4317A198">
                  <w:pPr>
                    <w:pStyle w:val="2"/>
                    <w:numPr>
                      <w:ilvl w:val="3"/>
                      <w:numId w:val="0"/>
                    </w:numPr>
                    <w:rPr>
                      <w:rFonts w:hint="eastAsia" w:ascii="仿宋_GB2312" w:hAnsi="仿宋_GB2312" w:eastAsia="仿宋_GB2312" w:cs="仿宋_GB2312"/>
                      <w:sz w:val="20"/>
                      <w:szCs w:val="20"/>
                      <w:lang w:val="en-US" w:eastAsia="zh-Hans"/>
                    </w:rPr>
                  </w:pPr>
                  <w:r>
                    <w:rPr>
                      <w:rFonts w:hint="eastAsia" w:ascii="仿宋_GB2312" w:hAnsi="仿宋_GB2312" w:eastAsia="仿宋_GB2312" w:cs="仿宋_GB2312"/>
                      <w:b w:val="0"/>
                      <w:sz w:val="20"/>
                      <w:szCs w:val="20"/>
                      <w:lang w:val="en-US" w:eastAsia="zh-Hans" w:bidi="ar-SA"/>
                    </w:rPr>
                    <w:t>高速公路收费运营管理信息化系统</w:t>
                  </w:r>
                </w:p>
              </w:tc>
              <w:tc>
                <w:tcPr>
                  <w:tcW w:w="747" w:type="pct"/>
                  <w:vAlign w:val="center"/>
                </w:tcPr>
                <w:p w14:paraId="7C9F2CAA">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15分钟</w:t>
                  </w:r>
                </w:p>
              </w:tc>
              <w:tc>
                <w:tcPr>
                  <w:tcW w:w="1604" w:type="pct"/>
                  <w:vAlign w:val="center"/>
                </w:tcPr>
                <w:p w14:paraId="01817DE8">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2小时内解决</w:t>
                  </w:r>
                </w:p>
              </w:tc>
            </w:tr>
            <w:tr w14:paraId="0A83D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6" w:hRule="atLeast"/>
              </w:trPr>
              <w:tc>
                <w:tcPr>
                  <w:tcW w:w="2648" w:type="pct"/>
                </w:tcPr>
                <w:p w14:paraId="1245814F">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基础信息管理系统</w:t>
                  </w:r>
                </w:p>
                <w:p w14:paraId="0F7E6442">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对账及结算系统</w:t>
                  </w:r>
                </w:p>
                <w:p w14:paraId="7ED8E00F">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记账与争议处理系统</w:t>
                  </w:r>
                </w:p>
                <w:p w14:paraId="6118A678">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省级计费服务系统</w:t>
                  </w:r>
                </w:p>
                <w:p w14:paraId="09B72FBA">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交易对账系统（省内及省际）</w:t>
                  </w:r>
                </w:p>
                <w:p w14:paraId="53AE95C9">
                  <w:pPr>
                    <w:pStyle w:val="2"/>
                    <w:numPr>
                      <w:ilvl w:val="3"/>
                      <w:numId w:val="0"/>
                    </w:numPr>
                    <w:rPr>
                      <w:rFonts w:hint="eastAsia" w:ascii="仿宋_GB2312" w:hAnsi="仿宋_GB2312" w:eastAsia="仿宋_GB2312" w:cs="仿宋_GB2312"/>
                      <w:sz w:val="20"/>
                      <w:szCs w:val="20"/>
                      <w:lang w:val="en-US" w:eastAsia="zh-Hans"/>
                    </w:rPr>
                  </w:pPr>
                  <w:r>
                    <w:rPr>
                      <w:rFonts w:hint="eastAsia" w:ascii="仿宋_GB2312" w:hAnsi="仿宋_GB2312" w:eastAsia="仿宋_GB2312" w:cs="仿宋_GB2312"/>
                      <w:b w:val="0"/>
                      <w:sz w:val="20"/>
                      <w:szCs w:val="20"/>
                      <w:lang w:val="en-US" w:eastAsia="zh-Hans" w:bidi="ar-SA"/>
                    </w:rPr>
                    <w:t>应急抢险救灾车辆通行应用系统</w:t>
                  </w:r>
                </w:p>
              </w:tc>
              <w:tc>
                <w:tcPr>
                  <w:tcW w:w="747" w:type="pct"/>
                  <w:vAlign w:val="center"/>
                </w:tcPr>
                <w:p w14:paraId="6BB52818">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15分钟</w:t>
                  </w:r>
                </w:p>
              </w:tc>
              <w:tc>
                <w:tcPr>
                  <w:tcW w:w="1604" w:type="pct"/>
                  <w:vAlign w:val="center"/>
                </w:tcPr>
                <w:p w14:paraId="1FD00606">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3小时内解决</w:t>
                  </w:r>
                </w:p>
              </w:tc>
            </w:tr>
            <w:tr w14:paraId="01E73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7" w:hRule="atLeast"/>
              </w:trPr>
              <w:tc>
                <w:tcPr>
                  <w:tcW w:w="2648" w:type="pct"/>
                </w:tcPr>
                <w:p w14:paraId="7FE2236B">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省级收费公路营改增发票业务系统</w:t>
                  </w:r>
                </w:p>
                <w:p w14:paraId="2175C76B">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省级对账交易系统</w:t>
                  </w:r>
                </w:p>
                <w:p w14:paraId="3E701DFA">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退费补交系统</w:t>
                  </w:r>
                </w:p>
                <w:p w14:paraId="6E3ACBF2">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统计报表系统</w:t>
                  </w:r>
                </w:p>
                <w:p w14:paraId="60AEF1BB">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综合信息平台</w:t>
                  </w:r>
                </w:p>
                <w:p w14:paraId="327C85A6">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省级门架应用加速节点系统</w:t>
                  </w:r>
                </w:p>
                <w:p w14:paraId="6E200EAA">
                  <w:pPr>
                    <w:pStyle w:val="2"/>
                    <w:numPr>
                      <w:ilvl w:val="3"/>
                      <w:numId w:val="0"/>
                    </w:numPr>
                    <w:rPr>
                      <w:rFonts w:hint="eastAsia" w:ascii="仿宋_GB2312" w:hAnsi="仿宋_GB2312" w:eastAsia="仿宋_GB2312" w:cs="仿宋_GB2312"/>
                      <w:sz w:val="20"/>
                      <w:szCs w:val="20"/>
                      <w:lang w:val="en-US" w:eastAsia="zh-Hans"/>
                    </w:rPr>
                  </w:pPr>
                  <w:r>
                    <w:rPr>
                      <w:rFonts w:hint="eastAsia" w:ascii="仿宋_GB2312" w:hAnsi="仿宋_GB2312" w:eastAsia="仿宋_GB2312" w:cs="仿宋_GB2312"/>
                      <w:b w:val="0"/>
                      <w:sz w:val="20"/>
                      <w:szCs w:val="20"/>
                      <w:lang w:val="en-US" w:eastAsia="zh-Hans" w:bidi="ar-SA"/>
                    </w:rPr>
                    <w:t>国密省收费中心系统及CPC卡发行系统</w:t>
                  </w:r>
                </w:p>
              </w:tc>
              <w:tc>
                <w:tcPr>
                  <w:tcW w:w="747" w:type="pct"/>
                  <w:vAlign w:val="center"/>
                </w:tcPr>
                <w:p w14:paraId="5EDF7609">
                  <w:pPr>
                    <w:pStyle w:val="2"/>
                    <w:numPr>
                      <w:ilvl w:val="3"/>
                      <w:numId w:val="0"/>
                    </w:numPr>
                    <w:spacing w:line="560" w:lineRule="exact"/>
                    <w:jc w:val="cente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15分钟</w:t>
                  </w:r>
                </w:p>
              </w:tc>
              <w:tc>
                <w:tcPr>
                  <w:tcW w:w="1604" w:type="pct"/>
                  <w:vAlign w:val="center"/>
                </w:tcPr>
                <w:p w14:paraId="3DC00EDC">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4小时内解决</w:t>
                  </w:r>
                </w:p>
                <w:p w14:paraId="0C06F4BA">
                  <w:pPr>
                    <w:pStyle w:val="2"/>
                    <w:numPr>
                      <w:ilvl w:val="3"/>
                      <w:numId w:val="0"/>
                    </w:numPr>
                    <w:rPr>
                      <w:rFonts w:hint="eastAsia" w:ascii="仿宋_GB2312" w:hAnsi="仿宋_GB2312" w:eastAsia="仿宋_GB2312" w:cs="仿宋_GB2312"/>
                      <w:sz w:val="20"/>
                      <w:szCs w:val="20"/>
                      <w:lang w:val="en-US" w:eastAsia="zh-Hans"/>
                    </w:rPr>
                  </w:pPr>
                  <w:r>
                    <w:rPr>
                      <w:rFonts w:hint="eastAsia" w:ascii="仿宋_GB2312" w:hAnsi="仿宋_GB2312" w:eastAsia="仿宋_GB2312" w:cs="仿宋_GB2312"/>
                      <w:b w:val="0"/>
                      <w:sz w:val="20"/>
                      <w:szCs w:val="20"/>
                      <w:lang w:val="en-US" w:eastAsia="zh-Hans" w:bidi="ar-SA"/>
                    </w:rPr>
                    <w:t>（综合信息平台的部分业务需要路段人员向中心相关人员提供情况说明，待中心确认后才能处理，解决时间需要视具体情况而定。）</w:t>
                  </w:r>
                </w:p>
              </w:tc>
            </w:tr>
            <w:tr w14:paraId="0C0B6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2648" w:type="pct"/>
                  <w:vAlign w:val="center"/>
                </w:tcPr>
                <w:p w14:paraId="1F6E0B11">
                  <w:pPr>
                    <w:pStyle w:val="2"/>
                    <w:numPr>
                      <w:ilvl w:val="3"/>
                      <w:numId w:val="0"/>
                    </w:numPr>
                    <w:rPr>
                      <w:rFonts w:hint="eastAsia" w:ascii="仿宋_GB2312" w:hAnsi="仿宋_GB2312" w:eastAsia="仿宋_GB2312" w:cs="仿宋_GB2312"/>
                      <w:sz w:val="20"/>
                      <w:szCs w:val="20"/>
                      <w:lang w:val="en-US" w:eastAsia="zh-Hans"/>
                    </w:rPr>
                  </w:pPr>
                  <w:r>
                    <w:rPr>
                      <w:rFonts w:hint="eastAsia" w:ascii="仿宋_GB2312" w:hAnsi="仿宋_GB2312" w:eastAsia="仿宋_GB2312" w:cs="仿宋_GB2312"/>
                      <w:b w:val="0"/>
                      <w:sz w:val="20"/>
                      <w:szCs w:val="20"/>
                      <w:lang w:val="en-US" w:eastAsia="zh-Hans" w:bidi="ar-SA"/>
                    </w:rPr>
                    <w:t>应用系统安全漏洞处理</w:t>
                  </w:r>
                </w:p>
              </w:tc>
              <w:tc>
                <w:tcPr>
                  <w:tcW w:w="747" w:type="pct"/>
                  <w:vAlign w:val="center"/>
                </w:tcPr>
                <w:p w14:paraId="5BAB4D7D">
                  <w:pPr>
                    <w:pStyle w:val="2"/>
                    <w:numPr>
                      <w:ilvl w:val="3"/>
                      <w:numId w:val="0"/>
                    </w:numPr>
                    <w:rPr>
                      <w:rFonts w:hint="eastAsia" w:ascii="仿宋_GB2312" w:hAnsi="仿宋_GB2312" w:eastAsia="仿宋_GB2312" w:cs="仿宋_GB2312"/>
                      <w:b w:val="0"/>
                      <w:sz w:val="20"/>
                      <w:szCs w:val="20"/>
                      <w:lang w:val="en-US" w:eastAsia="zh-Hans" w:bidi="ar-SA"/>
                    </w:rPr>
                  </w:pPr>
                  <w:r>
                    <w:rPr>
                      <w:rFonts w:hint="eastAsia" w:ascii="仿宋_GB2312" w:hAnsi="仿宋_GB2312" w:eastAsia="仿宋_GB2312" w:cs="仿宋_GB2312"/>
                      <w:b w:val="0"/>
                      <w:sz w:val="20"/>
                      <w:szCs w:val="20"/>
                      <w:lang w:val="en-US" w:eastAsia="zh-Hans" w:bidi="ar-SA"/>
                    </w:rPr>
                    <w:t>15分钟</w:t>
                  </w:r>
                </w:p>
              </w:tc>
              <w:tc>
                <w:tcPr>
                  <w:tcW w:w="1604" w:type="pct"/>
                  <w:vAlign w:val="center"/>
                </w:tcPr>
                <w:p w14:paraId="55C89BBC">
                  <w:pPr>
                    <w:pStyle w:val="2"/>
                    <w:numPr>
                      <w:ilvl w:val="3"/>
                      <w:numId w:val="0"/>
                    </w:numPr>
                    <w:rPr>
                      <w:rFonts w:hint="eastAsia" w:ascii="仿宋_GB2312" w:hAnsi="仿宋_GB2312" w:eastAsia="仿宋_GB2312" w:cs="仿宋_GB2312"/>
                      <w:sz w:val="20"/>
                      <w:szCs w:val="20"/>
                      <w:lang w:val="en-US" w:eastAsia="zh-Hans"/>
                    </w:rPr>
                  </w:pPr>
                  <w:r>
                    <w:rPr>
                      <w:rFonts w:hint="eastAsia" w:ascii="仿宋_GB2312" w:hAnsi="仿宋_GB2312" w:eastAsia="仿宋_GB2312" w:cs="仿宋_GB2312"/>
                      <w:b w:val="0"/>
                      <w:sz w:val="20"/>
                      <w:szCs w:val="20"/>
                      <w:lang w:val="en-US" w:eastAsia="zh-Hans" w:bidi="ar-SA"/>
                    </w:rPr>
                    <w:t>解决时间需要视具体情况确定</w:t>
                  </w:r>
                </w:p>
              </w:tc>
            </w:tr>
          </w:tbl>
          <w:p w14:paraId="09A01FD3">
            <w:pPr>
              <w:pStyle w:val="6"/>
              <w:ind w:firstLine="480"/>
              <w:rPr>
                <w:rFonts w:ascii="仿宋_GB2312" w:hAnsi="仿宋_GB2312" w:eastAsia="仿宋_GB2312" w:cs="仿宋_GB2312"/>
              </w:rPr>
            </w:pPr>
            <w:r>
              <w:rPr>
                <w:rFonts w:ascii="仿宋_GB2312" w:hAnsi="仿宋_GB2312" w:eastAsia="仿宋_GB2312" w:cs="仿宋_GB2312"/>
              </w:rPr>
              <w:t>（7）根据部中心相关运营规则要求，部中心状态名单对接系统正常的情况下，确保省收费中心30分钟内（省收费中心请求，部中心能提供数据时刻开始计时，该时间包括从部系统下载用户状态文件到省收费中心服务器以及省收费中心整理名单时间）从部级中心下载状态名单。省收费中心系统应保证ETC交易记录1天以内上传至部中心或发行方。如果部中心运营规则调整，按照新规则时限要求执行。</w:t>
            </w:r>
          </w:p>
          <w:p w14:paraId="39C49475">
            <w:pPr>
              <w:pStyle w:val="6"/>
              <w:ind w:firstLine="480"/>
              <w:rPr>
                <w:rFonts w:ascii="仿宋_GB2312" w:hAnsi="仿宋_GB2312" w:eastAsia="仿宋_GB2312" w:cs="仿宋_GB2312"/>
                <w:lang w:eastAsia="zh-CN"/>
              </w:rPr>
            </w:pPr>
            <w:r>
              <w:rPr>
                <w:rFonts w:ascii="仿宋_GB2312" w:hAnsi="仿宋_GB2312" w:eastAsia="仿宋_GB2312" w:cs="仿宋_GB2312"/>
              </w:rPr>
              <w:t>（8）加速节点系统，每月中旬检查一次系统状态。进行系统检测、清理和优化存储空间等工作。</w:t>
            </w:r>
          </w:p>
        </w:tc>
      </w:tr>
      <w:tr w14:paraId="5EB707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5" w:type="dxa"/>
          </w:tcPr>
          <w:p w14:paraId="3AA9C79F">
            <w:pPr>
              <w:pStyle w:val="6"/>
              <w:spacing w:line="460" w:lineRule="exact"/>
              <w:rPr>
                <w:rFonts w:ascii="宋体" w:hAnsi="宋体" w:eastAsia="宋体" w:cs="宋体"/>
                <w:lang w:eastAsia="zh-CN"/>
              </w:rPr>
            </w:pPr>
          </w:p>
        </w:tc>
        <w:tc>
          <w:tcPr>
            <w:tcW w:w="993" w:type="dxa"/>
          </w:tcPr>
          <w:p w14:paraId="1E5BE5DF">
            <w:pPr>
              <w:spacing w:line="460" w:lineRule="exact"/>
              <w:rPr>
                <w:rFonts w:hint="eastAsia" w:ascii="宋体" w:hAnsi="宋体" w:cs="宋体"/>
                <w:sz w:val="20"/>
                <w:szCs w:val="20"/>
              </w:rPr>
            </w:pPr>
          </w:p>
        </w:tc>
        <w:tc>
          <w:tcPr>
            <w:tcW w:w="6639" w:type="dxa"/>
          </w:tcPr>
          <w:p w14:paraId="329DE414">
            <w:pPr>
              <w:pStyle w:val="6"/>
              <w:rPr>
                <w:rFonts w:ascii="仿宋_GB2312" w:hAnsi="仿宋_GB2312" w:eastAsia="仿宋_GB2312" w:cs="仿宋_GB2312"/>
                <w:b/>
                <w:bCs/>
              </w:rPr>
            </w:pPr>
            <w:r>
              <w:rPr>
                <w:rFonts w:ascii="仿宋_GB2312" w:hAnsi="仿宋_GB2312" w:eastAsia="仿宋_GB2312" w:cs="仿宋_GB2312"/>
                <w:b/>
                <w:bCs/>
              </w:rPr>
              <w:t>（</w:t>
            </w:r>
            <w:r>
              <w:rPr>
                <w:rFonts w:hint="eastAsia" w:ascii="仿宋_GB2312" w:hAnsi="仿宋_GB2312" w:eastAsia="仿宋_GB2312" w:cs="仿宋_GB2312"/>
                <w:b/>
                <w:bCs/>
                <w:lang w:val="en-US" w:eastAsia="zh-CN"/>
              </w:rPr>
              <w:t>二</w:t>
            </w:r>
            <w:r>
              <w:rPr>
                <w:rFonts w:ascii="仿宋_GB2312" w:hAnsi="仿宋_GB2312" w:eastAsia="仿宋_GB2312" w:cs="仿宋_GB2312"/>
                <w:b/>
                <w:bCs/>
              </w:rPr>
              <w:t>）网络安全要求</w:t>
            </w:r>
          </w:p>
          <w:p w14:paraId="468E5DF3">
            <w:pPr>
              <w:pStyle w:val="6"/>
              <w:ind w:firstLine="480"/>
              <w:rPr>
                <w:rFonts w:ascii="仿宋_GB2312" w:hAnsi="仿宋_GB2312" w:eastAsia="仿宋_GB2312" w:cs="仿宋_GB2312"/>
                <w:lang w:eastAsia="zh-CN"/>
              </w:rPr>
            </w:pPr>
            <w:r>
              <w:rPr>
                <w:rFonts w:ascii="仿宋_GB2312" w:hAnsi="仿宋_GB2312" w:eastAsia="仿宋_GB2312" w:cs="仿宋_GB2312"/>
              </w:rPr>
              <w:t>供应商具备健全的网络安全服务体系，具有网络安全隐患排查、完善加固、预警监测、应对攻击等服务能力，配备具有相关技术能力的网络安全专项人员，为本项目提供漏洞检测、策略配置、加固整改、安全监测、应急处置等保障措施，确保系统安全稳定运行，按照要求签署网络安全责任协议。</w:t>
            </w:r>
          </w:p>
        </w:tc>
      </w:tr>
      <w:tr w14:paraId="041A79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5" w:type="dxa"/>
          </w:tcPr>
          <w:p w14:paraId="0A89C8AD">
            <w:pPr>
              <w:pStyle w:val="6"/>
              <w:spacing w:line="460" w:lineRule="exact"/>
              <w:rPr>
                <w:rFonts w:ascii="宋体" w:hAnsi="宋体" w:eastAsia="宋体" w:cs="宋体"/>
                <w:lang w:eastAsia="zh-CN"/>
              </w:rPr>
            </w:pPr>
          </w:p>
        </w:tc>
        <w:tc>
          <w:tcPr>
            <w:tcW w:w="993" w:type="dxa"/>
          </w:tcPr>
          <w:p w14:paraId="62E43943">
            <w:pPr>
              <w:spacing w:line="460" w:lineRule="exact"/>
              <w:rPr>
                <w:rFonts w:hint="eastAsia" w:ascii="宋体" w:hAnsi="宋体" w:cs="宋体"/>
                <w:sz w:val="20"/>
                <w:szCs w:val="20"/>
              </w:rPr>
            </w:pPr>
          </w:p>
        </w:tc>
        <w:tc>
          <w:tcPr>
            <w:tcW w:w="6639" w:type="dxa"/>
          </w:tcPr>
          <w:p w14:paraId="1CD97392">
            <w:pPr>
              <w:pStyle w:val="6"/>
              <w:rPr>
                <w:rFonts w:ascii="仿宋_GB2312" w:hAnsi="仿宋_GB2312" w:eastAsia="仿宋_GB2312" w:cs="仿宋_GB2312"/>
                <w:b/>
                <w:bCs/>
              </w:rPr>
            </w:pPr>
            <w:r>
              <w:rPr>
                <w:rFonts w:ascii="仿宋_GB2312" w:hAnsi="仿宋_GB2312" w:eastAsia="仿宋_GB2312" w:cs="仿宋_GB2312"/>
                <w:b/>
                <w:bCs/>
              </w:rPr>
              <w:t>（</w:t>
            </w:r>
            <w:r>
              <w:rPr>
                <w:rFonts w:hint="eastAsia" w:ascii="仿宋_GB2312" w:hAnsi="仿宋_GB2312" w:eastAsia="仿宋_GB2312" w:cs="仿宋_GB2312"/>
                <w:b/>
                <w:bCs/>
                <w:lang w:val="en-US" w:eastAsia="zh-CN"/>
              </w:rPr>
              <w:t>三</w:t>
            </w:r>
            <w:r>
              <w:rPr>
                <w:rFonts w:ascii="仿宋_GB2312" w:hAnsi="仿宋_GB2312" w:eastAsia="仿宋_GB2312" w:cs="仿宋_GB2312"/>
                <w:b/>
                <w:bCs/>
              </w:rPr>
              <w:t>）保密要求</w:t>
            </w:r>
          </w:p>
          <w:p w14:paraId="6875A3D1">
            <w:pPr>
              <w:pStyle w:val="6"/>
              <w:ind w:firstLine="480"/>
              <w:rPr>
                <w:rFonts w:ascii="仿宋_GB2312" w:hAnsi="仿宋_GB2312" w:eastAsia="仿宋_GB2312" w:cs="仿宋_GB2312"/>
                <w:lang w:eastAsia="zh-CN"/>
              </w:rPr>
            </w:pPr>
            <w:r>
              <w:rPr>
                <w:rFonts w:ascii="仿宋_GB2312" w:hAnsi="仿宋_GB2312" w:eastAsia="仿宋_GB2312" w:cs="仿宋_GB2312"/>
              </w:rPr>
              <w:t>项目实施过程中所收集、产生的所有与本项目相关的文档、资料，包括文字、图片、表格、数字、数据等各种形式所属权均归属省收费中心，服务商必须对获悉的保密信息负有完全和严格的保密义务，服务商及服务人员应按照要求签署保密协议。未经采购人事先书面同意，服务商不得传输、复制、转让、泄露信息至非交易所属单位。保密期限不受合同有效期的限制，在合同有效期结束后，供应商仍应承担保密义务。</w:t>
            </w:r>
          </w:p>
        </w:tc>
      </w:tr>
      <w:tr w14:paraId="21571B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5" w:type="dxa"/>
          </w:tcPr>
          <w:p w14:paraId="62B5A961">
            <w:pPr>
              <w:pStyle w:val="6"/>
              <w:spacing w:line="460" w:lineRule="exact"/>
              <w:rPr>
                <w:rFonts w:ascii="宋体" w:hAnsi="宋体" w:eastAsia="宋体" w:cs="宋体"/>
                <w:lang w:eastAsia="zh-CN"/>
              </w:rPr>
            </w:pPr>
          </w:p>
        </w:tc>
        <w:tc>
          <w:tcPr>
            <w:tcW w:w="993" w:type="dxa"/>
          </w:tcPr>
          <w:p w14:paraId="6E2FD39D">
            <w:pPr>
              <w:spacing w:line="460" w:lineRule="exact"/>
              <w:rPr>
                <w:rFonts w:hint="eastAsia" w:ascii="宋体" w:hAnsi="宋体" w:cs="宋体"/>
                <w:sz w:val="20"/>
                <w:szCs w:val="20"/>
              </w:rPr>
            </w:pPr>
          </w:p>
        </w:tc>
        <w:tc>
          <w:tcPr>
            <w:tcW w:w="6639" w:type="dxa"/>
          </w:tcPr>
          <w:p w14:paraId="2C29D7C3">
            <w:pPr>
              <w:pStyle w:val="6"/>
              <w:rPr>
                <w:rFonts w:ascii="仿宋_GB2312" w:hAnsi="仿宋_GB2312" w:eastAsia="仿宋_GB2312" w:cs="仿宋_GB2312"/>
                <w:b/>
                <w:bCs/>
              </w:rPr>
            </w:pPr>
            <w:r>
              <w:rPr>
                <w:rFonts w:ascii="仿宋_GB2312" w:hAnsi="仿宋_GB2312" w:eastAsia="仿宋_GB2312" w:cs="仿宋_GB2312"/>
                <w:b/>
                <w:bCs/>
              </w:rPr>
              <w:t>（</w:t>
            </w:r>
            <w:r>
              <w:rPr>
                <w:rFonts w:hint="eastAsia" w:ascii="仿宋_GB2312" w:hAnsi="仿宋_GB2312" w:eastAsia="仿宋_GB2312" w:cs="仿宋_GB2312"/>
                <w:b/>
                <w:bCs/>
                <w:lang w:val="en-US" w:eastAsia="zh-CN"/>
              </w:rPr>
              <w:t>四</w:t>
            </w:r>
            <w:r>
              <w:rPr>
                <w:rFonts w:ascii="仿宋_GB2312" w:hAnsi="仿宋_GB2312" w:eastAsia="仿宋_GB2312" w:cs="仿宋_GB2312"/>
                <w:b/>
                <w:bCs/>
              </w:rPr>
              <w:t>）供应链管理</w:t>
            </w:r>
          </w:p>
          <w:p w14:paraId="3BD62506">
            <w:pPr>
              <w:pStyle w:val="6"/>
              <w:ind w:firstLine="480"/>
              <w:rPr>
                <w:rFonts w:ascii="宋体" w:hAnsi="宋体" w:eastAsia="宋体" w:cs="宋体"/>
                <w:lang w:eastAsia="zh-CN"/>
              </w:rPr>
            </w:pPr>
            <w:r>
              <w:rPr>
                <w:rFonts w:ascii="仿宋_GB2312" w:hAnsi="仿宋_GB2312" w:eastAsia="仿宋_GB2312" w:cs="仿宋_GB2312"/>
              </w:rPr>
              <w:t>供应商应严格落实网络安全和保密及人员管理要求，承担相应人员的网络安全和保密及人员管理责任，按要求签订协议和承诺书。供应商应强化配备人员管理，项目团队成员一经确认，原则上不得更换。如因特殊情况确需调整，须提前15个日历天向采购人提交书面申请，经采购人审核同意后方可更换，且替换人员的职称、专业背景、从业年限及项目经验不得低于原定人员标准，确保项目服务质量不受影响。</w:t>
            </w:r>
          </w:p>
        </w:tc>
      </w:tr>
    </w:tbl>
    <w:p w14:paraId="4E33052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75D8EF"/>
    <w:multiLevelType w:val="multilevel"/>
    <w:tmpl w:val="3775D8EF"/>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2"/>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B9609E"/>
    <w:rsid w:val="70B960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4"/>
    <w:basedOn w:val="1"/>
    <w:next w:val="1"/>
    <w:unhideWhenUsed/>
    <w:qFormat/>
    <w:uiPriority w:val="0"/>
    <w:pPr>
      <w:keepNext/>
      <w:keepLines/>
      <w:numPr>
        <w:ilvl w:val="3"/>
        <w:numId w:val="1"/>
      </w:numPr>
      <w:autoSpaceDE w:val="0"/>
      <w:autoSpaceDN w:val="0"/>
      <w:jc w:val="left"/>
      <w:outlineLvl w:val="3"/>
    </w:pPr>
    <w:rPr>
      <w:rFonts w:ascii="Arial" w:hAnsi="Arial" w:eastAsia="仿宋" w:cs="仿宋"/>
      <w:b/>
      <w:kern w:val="0"/>
      <w:lang w:val="zh-CN" w:bidi="zh-CN"/>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2026-05-27T03:42:00Z</dcterms:created>
  <dc:creator>833</dc:creator>
  <cp:lastModifiedBy>833</cp:lastModifiedBy>
  <dcterms:modified xsi:type="dcterms:W3CDTF">2026-05-27T03:43:30Z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B1E2E4EA38B148BBBE47BE660A2823CE_11</vt:lpwstr>
  </property>
  <property fmtid="{D5CDD505-2E9C-101B-9397-08002B2CF9AE}" pid="4" name="KSOTemplateDocerSaveRecord">
    <vt:lpwstr>eyJoZGlkIjoiNTI1OGU5NzEwNjlmOTA0NzYwMTIyZGJlNThjMzMxOGYiLCJ1c2VySWQiOiIzMTI3MDEwNzEifQ==</vt:lpwstr>
  </property>
</Properties>
</file>