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版本号：RDX-ZB2026第002号20260523005</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检验设备购置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RDX-ZB2026第002号</w:t>
      </w:r>
      <w:r>
        <w:br/>
      </w:r>
      <w:r>
        <w:br/>
      </w:r>
      <w:r>
        <w:br/>
      </w:r>
    </w:p>
    <w:p>
      <w:pPr>
        <w:pStyle w:val="null3"/>
        <w:jc w:val="center"/>
        <w:outlineLvl w:val="2"/>
      </w:pPr>
      <w:r>
        <w:rPr>
          <w:rFonts w:ascii="仿宋_GB2312" w:hAnsi="仿宋_GB2312" w:cs="仿宋_GB2312" w:eastAsia="仿宋_GB2312"/>
          <w:sz w:val="28"/>
          <w:b/>
        </w:rPr>
        <w:t>汉中市食品药品监督检验检测中心</w:t>
      </w:r>
    </w:p>
    <w:p>
      <w:pPr>
        <w:pStyle w:val="null3"/>
        <w:jc w:val="center"/>
        <w:outlineLvl w:val="2"/>
      </w:pPr>
      <w:r>
        <w:rPr>
          <w:rFonts w:ascii="仿宋_GB2312" w:hAnsi="仿宋_GB2312" w:cs="仿宋_GB2312" w:eastAsia="仿宋_GB2312"/>
          <w:sz w:val="28"/>
          <w:b/>
        </w:rPr>
        <w:t>陕西容德轩项目管理有限公司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陕西容德轩项目管理有限公司</w:t>
      </w:r>
      <w:r>
        <w:rPr>
          <w:rFonts w:ascii="仿宋_GB2312" w:hAnsi="仿宋_GB2312" w:cs="仿宋_GB2312" w:eastAsia="仿宋_GB2312"/>
        </w:rPr>
        <w:t>（以下简称“代理机构”）受</w:t>
      </w:r>
      <w:r>
        <w:rPr>
          <w:rFonts w:ascii="仿宋_GB2312" w:hAnsi="仿宋_GB2312" w:cs="仿宋_GB2312" w:eastAsia="仿宋_GB2312"/>
        </w:rPr>
        <w:t>汉中市食品药品监督检验检测中心</w:t>
      </w:r>
      <w:r>
        <w:rPr>
          <w:rFonts w:ascii="仿宋_GB2312" w:hAnsi="仿宋_GB2312" w:cs="仿宋_GB2312" w:eastAsia="仿宋_GB2312"/>
        </w:rPr>
        <w:t>委托，拟对</w:t>
      </w:r>
      <w:r>
        <w:rPr>
          <w:rFonts w:ascii="仿宋_GB2312" w:hAnsi="仿宋_GB2312" w:cs="仿宋_GB2312" w:eastAsia="仿宋_GB2312"/>
        </w:rPr>
        <w:t>检验设备购置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RDX-ZB2026第002号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检验设备购置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购置检验设备一批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采购包1（检验设备购置）：属于专门面向中小企业采购。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2、法定代表人或单位负责人授权书：法定代表人或单位负责人授权书及被授权人身份证（法定代表人或单位负责人直接参加投标除外，但须出示法定代表人或单位负责人身份证复印件及营业执照复印件）</w:t>
      </w:r>
    </w:p>
    <w:p>
      <w:pPr>
        <w:pStyle w:val="null3"/>
      </w:pPr>
      <w:r>
        <w:rPr>
          <w:rFonts w:ascii="仿宋_GB2312" w:hAnsi="仿宋_GB2312" w:cs="仿宋_GB2312" w:eastAsia="仿宋_GB2312"/>
        </w:rPr>
        <w:t>3、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汉中市食品药品监督检验检测中心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汉中市中山街64号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王嘉豪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13629163839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陕西容德轩项目管理有限公司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陕西省汉中市汉台区陕西省汉中市汉台区南关正街汉上第一街12号楼23层09号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18149167567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采购包1：445,000.00元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开户名称：陕西容德轩项目管理有限公司</w:t>
            </w:r>
          </w:p>
          <w:p>
            <w:pPr>
              <w:pStyle w:val="null3"/>
            </w:pPr>
            <w:r>
              <w:rPr>
                <w:rFonts w:ascii="仿宋_GB2312" w:hAnsi="仿宋_GB2312" w:cs="仿宋_GB2312" w:eastAsia="仿宋_GB2312"/>
              </w:rPr>
              <w:t>开户银行：中国工商银行汉中汉江路分理处</w:t>
            </w:r>
          </w:p>
          <w:p>
            <w:pPr>
              <w:pStyle w:val="null3"/>
            </w:pPr>
            <w:r>
              <w:rPr>
                <w:rFonts w:ascii="仿宋_GB2312" w:hAnsi="仿宋_GB2312" w:cs="仿宋_GB2312" w:eastAsia="仿宋_GB2312"/>
              </w:rPr>
              <w:t>银行账号：2606 0221 0920 0040 966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发展改革委关于降低部分建设项目收费标准规范收费行为等有关问题的通知》（发改价格[2011]534号）文件及采购代理合同收取，成交单位在领取成交通知书前，须向采购代理机构一次性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汉中市食品药品监督检验检测中心</w:t>
      </w:r>
      <w:r>
        <w:rPr>
          <w:rFonts w:ascii="仿宋_GB2312" w:hAnsi="仿宋_GB2312" w:cs="仿宋_GB2312" w:eastAsia="仿宋_GB2312"/>
        </w:rPr>
        <w:t>和</w:t>
      </w:r>
      <w:r>
        <w:rPr>
          <w:rFonts w:ascii="仿宋_GB2312" w:hAnsi="仿宋_GB2312" w:cs="仿宋_GB2312" w:eastAsia="仿宋_GB2312"/>
        </w:rPr>
        <w:t>陕西容德轩项目管理有限公司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汉中市食品药品监督检验检测中心</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陕西容德轩项目管理有限公司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汉中市食品药品监督检验检测中心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陕西容德轩项目管理有限公司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1、本项目合同及合同附件。 2、国家相应的标准、规范。 3、采购文件、响应文件、澄清表（函）。质量验收标准或规范：现行的国家标准或国家行政部门颁布的法律法规、规章制度、采购文件（包括澄清、答疑等）、响应文件。没有国家标准的，可以参考行业标准。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汉中市食品药品监督检验检测中心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陕西容德轩项目管理有限公司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陕西容德轩项目管理有限公司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联系人：李女士</w:t>
      </w:r>
    </w:p>
    <w:p>
      <w:pPr>
        <w:pStyle w:val="null3"/>
      </w:pPr>
      <w:r>
        <w:rPr>
          <w:rFonts w:ascii="仿宋_GB2312" w:hAnsi="仿宋_GB2312" w:cs="仿宋_GB2312" w:eastAsia="仿宋_GB2312"/>
        </w:rPr>
        <w:t>联系电话：18149167567</w:t>
      </w:r>
    </w:p>
    <w:p>
      <w:pPr>
        <w:pStyle w:val="null3"/>
      </w:pPr>
      <w:r>
        <w:rPr>
          <w:rFonts w:ascii="仿宋_GB2312" w:hAnsi="仿宋_GB2312" w:cs="仿宋_GB2312" w:eastAsia="仿宋_GB2312"/>
        </w:rPr>
        <w:t>地址：陕西省汉中市汉台区南关正街汉上第一街12号楼23层09号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购置检验设备一批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445,000.00</w:t>
      </w:r>
    </w:p>
    <w:p>
      <w:pPr>
        <w:pStyle w:val="null3"/>
      </w:pPr>
      <w:r>
        <w:rPr>
          <w:rFonts w:ascii="仿宋_GB2312" w:hAnsi="仿宋_GB2312" w:cs="仿宋_GB2312" w:eastAsia="仿宋_GB2312"/>
        </w:rPr>
        <w:t>采购包最高限价（元）: 445,000.00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检验设备购置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445,000.00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标的名称：检验设备购置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80"/>
              <w:gridCol w:w="242"/>
              <w:gridCol w:w="180"/>
              <w:gridCol w:w="1944"/>
            </w:tblGrid>
            <w:tr>
              <w:tc>
                <w:tcPr>
                  <w:tcW w:type="dxa" w:w="18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b/>
                      <w:color w:val="000000"/>
                    </w:rPr>
                    <w:t>序号</w:t>
                  </w:r>
                </w:p>
              </w:tc>
              <w:tc>
                <w:tcPr>
                  <w:tcW w:type="dxa" w:w="24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b/>
                      <w:color w:val="000000"/>
                    </w:rPr>
                    <w:t>名称</w:t>
                  </w:r>
                </w:p>
              </w:tc>
              <w:tc>
                <w:tcPr>
                  <w:tcW w:type="dxa" w:w="18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b/>
                      <w:color w:val="000000"/>
                    </w:rPr>
                    <w:t>数量</w:t>
                  </w:r>
                </w:p>
              </w:tc>
              <w:tc>
                <w:tcPr>
                  <w:tcW w:type="dxa" w:w="194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b/>
                      <w:color w:val="000000"/>
                    </w:rPr>
                    <w:t>参数</w:t>
                  </w:r>
                  <w:r>
                    <w:rPr>
                      <w:rFonts w:ascii="仿宋_GB2312" w:hAnsi="仿宋_GB2312" w:cs="仿宋_GB2312" w:eastAsia="仿宋_GB2312"/>
                      <w:sz w:val="19"/>
                      <w:b/>
                      <w:color w:val="000000"/>
                    </w:rPr>
                    <w:t>/配置</w:t>
                  </w:r>
                </w:p>
              </w:tc>
            </w:tr>
            <w:tr>
              <w:tc>
                <w:tcPr>
                  <w:tcW w:type="dxa" w:w="18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1</w:t>
                  </w:r>
                </w:p>
              </w:tc>
              <w:tc>
                <w:tcPr>
                  <w:tcW w:type="dxa" w:w="24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大容量离心机</w:t>
                  </w:r>
                </w:p>
              </w:tc>
              <w:tc>
                <w:tcPr>
                  <w:tcW w:type="dxa" w:w="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1</w:t>
                  </w:r>
                </w:p>
              </w:tc>
              <w:tc>
                <w:tcPr>
                  <w:tcW w:type="dxa" w:w="19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9"/>
                      <w:color w:val="000000"/>
                    </w:rPr>
                    <w:t>1、技术参数及性能描述</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1.1、最高转速≥5500r/min ；</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1.2、转速精度≤±10r/min；</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1.3、最大相对离心力≥4900xg；</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1.4、可以直接设置离心力或转速，能以1或10或100三种步进任意选取一种递增；</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★1.5、最大容量：≥4×750ml，一次性可分离不少于25支50ml、75支15ml尖底离心管、150支5ml及7ml采血管，120孔自动脱帽适配器。</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1.6、定时范围：1s-99min59s、1min-99h59min；具有启动计时、到转速计时、连续计时三种计时模式；</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1.7、加/减速曲线：10档加速曲线、11档减速曲线，可根据实验需求，自定义升速、降速时间曲线，使分离效果达到最佳状态；</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1.8、驱动系统：交流变频电机驱动；</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1.9、控制系统：≥7寸高灵敏度（可戴手套直接操作）高清触摸屏控制；可快速设置转速或离心力，设置参数与运行参数同屏显示，直观、易懂。</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1.10、可以设置不少于100组程序，并可对每组程序进行简易命名，更方便使用时调取与区分不同的实验，方便实现实验的可重复性。</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1.11、可选中不少于五组程序，实现阶梯离心，使实验可以多元化、多步骤一次执行。</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1.12、自动保存运行记录、故障记录，可以有效的查看仪器的运行情况与每批样品的分离情况。</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1.13、材质：离心腔采用316L不锈钢；转子、吊篮采用高强度耐腐蚀铝合金或等效航空级材料。</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★1.14、可配备通过第三方认证的动态微生物气密性转子，有效防止气溶胶及液体外泄(需提供第三方认证证书)。</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1.15、点动功能：有；</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1.16、转子识别：有；</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1.17、外形尺寸（长×宽×高）：不超过713*681*398mm；</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1.18、净重:≤95kg；</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2、配置要求</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2.1、离心机主机 1台 ；  2.2、4*750ml水平圆杯转子 1套 ；2.3、4*7*50ml尖底适配器；4*15*15ml尖底适配器4*4*100ml适配器各1套。2.4、需配备15mL、50mL、100mL离心管各2包。</w:t>
                  </w:r>
                </w:p>
              </w:tc>
            </w:tr>
            <w:tr>
              <w:tc>
                <w:tcPr>
                  <w:tcW w:type="dxa" w:w="18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2</w:t>
                  </w:r>
                </w:p>
              </w:tc>
              <w:tc>
                <w:tcPr>
                  <w:tcW w:type="dxa" w:w="24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△冷冻离心机</w:t>
                  </w:r>
                </w:p>
              </w:tc>
              <w:tc>
                <w:tcPr>
                  <w:tcW w:type="dxa" w:w="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1</w:t>
                  </w:r>
                </w:p>
              </w:tc>
              <w:tc>
                <w:tcPr>
                  <w:tcW w:type="dxa" w:w="19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9"/>
                      <w:color w:val="000000"/>
                    </w:rPr>
                    <w:t>1、技术参数及性能描述</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★1.1、最高转速≥22000r/min，转速精度≤±10r/min；</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★1.2、最大相对离心力≥52000xg；</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★1.3、最大容量：≥6×500ml；</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1.4、定时范围：1min～99h59min、1s～99min59s；具有启动计时、到转速计时、瞬时连续计时、定时启动四种计时模式；</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★1.5、温度设置范围：-20℃～+40℃，以1℃递增，温度控制精度±2℃；</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1.6、加/减速曲线：10档加速曲线、11档减速曲线，可根据实验需求，自定义升速、降速时间曲线，使分离效果达到最佳状态；</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1.7、可选配电动门盖功能：只需触摸控制面板上的按钮就可以实现门盖的自动关闭与开启，无需人工开关门；具有智能门盖防止夹装置；</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1.8、材质：离心腔采用316L不锈钢，转子、吊篮采用高强度耐腐蚀合金或航空级材料（如铝合金、钛合金、碳纤维等），表面硬质氧化，耐腐蚀；</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1.9、具有不平衡保护、转子自动识别、电机过热保护、超速保护、超温保护、门盖保护等多种保护功能。</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1.10、步即可完成单个预设程序的存储，一键便可调取，程序存储无上限，方便实现实验的可重复性；可设置多达5级的阶梯离心，使实验多个步骤一次执行。</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1.11、超强的系统设置功能，通过系统设置可以对运行数据记录等特色功能。</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1.12、手动模式时可以快速对离心机参数进行设置，一键实现离心力与转速切换。</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1.13、系统采用统一的、标准的以太网通讯接口，提供关键参数点位表，便于系统拓展将数据纳入系统监控中。</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★1.14、可配备通过第三方认证的动态微生物气密性转子，有效防止气溶胶及液体外泄(需提供第三方认证证书)。</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1.15、产品满足国家安全与性能标准。</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1.16、外形尺寸：不超过700×935×940(mm)</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2、配置要求</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 xml:space="preserve">2.1、离心机主机 1台    </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2.2、6*50ml角转子（尖底）（最高转速≥20000r/min，最大相对离心力≥43000xg）1套；2.3、需配备50mL离心管4包。</w:t>
                  </w:r>
                </w:p>
              </w:tc>
            </w:tr>
            <w:tr>
              <w:tc>
                <w:tcPr>
                  <w:tcW w:type="dxa" w:w="18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3</w:t>
                  </w:r>
                </w:p>
              </w:tc>
              <w:tc>
                <w:tcPr>
                  <w:tcW w:type="dxa" w:w="24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水蒸气蒸馏仪</w:t>
                  </w:r>
                </w:p>
              </w:tc>
              <w:tc>
                <w:tcPr>
                  <w:tcW w:type="dxa" w:w="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1</w:t>
                  </w:r>
                </w:p>
              </w:tc>
              <w:tc>
                <w:tcPr>
                  <w:tcW w:type="dxa" w:w="19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9"/>
                      <w:color w:val="000000"/>
                    </w:rPr>
                    <w:t>1、技术参数及性能描述</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1.1、仪器组成：智能一体化蒸馏仪（立面）；1.2、控制系统：PLC+不小于7寸触控屏；1.3、加热方式：远红外陶瓷加热（单孔单控）；1.4、冷却方式：外接冷水机； 1.5、重量控制：1-500ml，单孔可调； 1.6、时间控制：0-200min，单孔可调； 1.7、防倒吸：有； 1.8、清洗功能：有冷凝管清洗； 1.9、冷凝水排空：有；  1.10、总功率：3000w；★1.11、蒸馏速度：2-12ml/min（调整单孔功率）； 1.12、升温时间：20-30min；1.13、蒸馏瓶：500mlx6； 1.14、额定电压：AC220V/50HZ；★1.15、水蒸气主机设备参数1.15.1、控制系统：温控器+触控屏1.15.2、加热方式：电加热1.15.3、总功率：≤2500W1.15.4、升温时间：10-15min；</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1.16、仪器机身采用框架一体式设计，稳固牢靠，主体采用品牌冷轧板配合静电粉末涂装，更加耐磨、耐腐蚀；</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1.17、从空开到触点，继电保护器到按钮开关等，选用知名品牌电气元件，保证仪器品质和的使用寿命；</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1.18、控制部分采用品牌PLC控制，性能更稳定，≥7寸触控屏可调节所有设置；</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1.19、加热模块采用碗状远红外陶瓷加热炉，红外线辐射加热（无明火加热、防水），加热过程更佳安全稳定，导热效果更佳；</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1.20、一次可做6组样品，可单孔单控；加热功率可任意调节，系统自带微沸模式；</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1.21、自动侦测蒸馏终点双重控制功能，自动停止加热，蒸馏重量控制在±1g之内，自动化程度高；</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1.22、设有防真空电磁阀，自动识别瓶内压力，通过和夹管阀的配置，具有蒸出液防倒吸功能；</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1.23、自带冷凝管路清洗功能，实验结束后，可以针对馏出液管路进行冲洗；</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1.24、外接专用冷水机，适合大批量样品连续工作，节能降耗，实验结束后可选择冷凝水自动排空功能，防止长期不使用滋生细菌；</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1.25、特别定制水蒸气蒸馏实验专用水蒸气发生器，6路蒸汽口，可自动控制开关，三通阀设计防倒吸；</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1.26、平常不串联水蒸气发生器，可以用作普通的智能一体化蒸馏仪使用，一机多用；</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1.27、系统内自带说明书和服务中心二维码，手机扫码自动查看电子说明书和一键连接服务中心。</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2、配置要求</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2.1 、仪器主机 1台 2.2 、冷凝管 6个 ，2.3 、500ml二口圆底烧瓶 6个，2.4 、直行导气瓶塞19# G307 1个，2.5、250ml敞口三角收集瓶  6个</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2.6、玻璃直通导气管7mmx10cm  6根，2.7 、双头单通导气管带阀门#19x100  6个，2.8、样品称重托盘  6个，2.9、固定架 1件，2.10、塑料瓶口夹 6个，2.11、M5x16梅花螺丝 4个，2.12、电源线：3x1.5P 2根，2.13、6x9硅胶软管+6x4气管 若干，2.14、合格证、说明书 1份，2.15、水蒸气发生器 1台。</w:t>
                  </w:r>
                </w:p>
              </w:tc>
            </w:tr>
            <w:tr>
              <w:tc>
                <w:tcPr>
                  <w:tcW w:type="dxa" w:w="18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4</w:t>
                  </w:r>
                </w:p>
              </w:tc>
              <w:tc>
                <w:tcPr>
                  <w:tcW w:type="dxa" w:w="24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农药残留检测仪</w:t>
                  </w:r>
                </w:p>
              </w:tc>
              <w:tc>
                <w:tcPr>
                  <w:tcW w:type="dxa" w:w="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1</w:t>
                  </w:r>
                </w:p>
              </w:tc>
              <w:tc>
                <w:tcPr>
                  <w:tcW w:type="dxa" w:w="19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9"/>
                      <w:color w:val="000000"/>
                    </w:rPr>
                    <w:t>仪器特点：</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19"/>
                      <w:color w:val="000000"/>
                    </w:rPr>
                    <w:t>1）电源管理功能：仪器12 V电源供电，可直接220 V适配器供电，仪器支持自动待机。</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19"/>
                      <w:color w:val="000000"/>
                    </w:rPr>
                    <w:t>2）彩色触摸屏大于10英寸，具备拼音、手写输入操作功能，可以根据操作人员需要随时下载输入方法。</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19"/>
                      <w:color w:val="000000"/>
                    </w:rPr>
                    <w:t>3）内置Android操作系统，具备远程自动升级功能，无需配置电脑即可独立完成检测及数据传输工作。</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19"/>
                      <w:color w:val="000000"/>
                    </w:rPr>
                    <w:t>4）具有电源接口，网络接口，USB接口，数据线接口，音频接口，数据采集丰富，扩展性强。</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19"/>
                      <w:color w:val="000000"/>
                    </w:rPr>
                    <w:t>5）不限数量存储测试数据，可通过WIFI连入 Internet/局域网，无线传输模式将检测结果进行格式转换、实时打印或上传至食品药品安全检测监控信息系统，组建省、市、地、县等各级食品监控网络。</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19"/>
                      <w:color w:val="000000"/>
                    </w:rPr>
                    <w:t>6）检测过程只需选择样品编号进入检测即可，检测结果三种处理模式：上传、平行、复检。</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19"/>
                      <w:color w:val="000000"/>
                    </w:rPr>
                    <w:t>7）不合格样品自动进入复检模式，选择原来样品编号，不需要重新输入相关样品信息，减少样品信息输入工作量，减少误差，明确每个样品检测结果处理过程。</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19"/>
                      <w:color w:val="000000"/>
                    </w:rPr>
                    <w:t>8）可建立检测任务，任务信息包含：样品编号、样品名称、产品类别、受检单位、任务来源、检验类别、抽样区域、抽检机构、抽样人员等信息。</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19"/>
                      <w:color w:val="000000"/>
                    </w:rPr>
                    <w:t>9）查询方式：按日期、样品名称、受检单位、产品类别、任务来源、检测类别、检测结论、抽样区域、检测人员、抽样人员、抽检机构、上传标志等条件。</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19"/>
                      <w:color w:val="000000"/>
                    </w:rPr>
                    <w:t>10）检测数据统计方式：表格方式、柱形图显示、饼形图显示等方式。</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19"/>
                      <w:color w:val="000000"/>
                    </w:rPr>
                    <w:t>11）内置打印机，用户可在检测结果页面实时打印检测结果，在查询页面打印检测详情单以及对检测合格的产品打印农产品合格证。</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19"/>
                      <w:color w:val="000000"/>
                    </w:rPr>
                    <w:t>12）基本参数：</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农残卡片功能模块：</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通道数量：</w:t>
                  </w:r>
                  <w:r>
                    <w:rPr>
                      <w:rFonts w:ascii="仿宋_GB2312" w:hAnsi="仿宋_GB2312" w:cs="仿宋_GB2312" w:eastAsia="仿宋_GB2312"/>
                      <w:sz w:val="19"/>
                      <w:color w:val="000000"/>
                    </w:rPr>
                    <w:t>≥10个标准温度：39 ℃，标准预热时间：10 min，标准反应时间：3 min，结果显示：以抑制率的形式直接显示结果，使用环境温湿度：＜40 ℃，90 ％RH，检测精度：≤0.5 %，通道间误差：≤0.5 %，通道重复性：≤0.5 %</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温度控制：不确定度</w:t>
                  </w:r>
                  <w:r>
                    <w:rPr>
                      <w:rFonts w:ascii="仿宋_GB2312" w:hAnsi="仿宋_GB2312" w:cs="仿宋_GB2312" w:eastAsia="仿宋_GB2312"/>
                      <w:sz w:val="19"/>
                      <w:color w:val="000000"/>
                    </w:rPr>
                    <w:t>U=0.3℃，微电脑控时控温，无需专人监管，全自动检测，具有自动升温及恒温功能，检测全程屏幕显示升温过程，确保国标要求37±2 ℃，保证检测结果准确性。</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金标卡功能模块：</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1.通道数：两个，一个单联金标卡通道，一个三联金标卡通道；</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2.测量速度：≤5 s</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3.检测精度：CV值＜1 %，批间差＜3 %,灵敏度＞0.001。</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4.检测结果：支持金标项目定性检测，结果可显示样品阴阳性。</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5.光学系统：激光寻位自动扫描测量系统或图像自动识别系统。可支持线宽及线间距设定，可支持实时显示检测曲线；自动精准识别CT线位置，纠错范围可达±3 mm。</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19"/>
                      <w:color w:val="000000"/>
                    </w:rPr>
                    <w:t>13）数据能和陕西省农产品质量安全监管追溯平台形成数据对接。检测结果能自动上传至各市、区、县农产品质量安全监管平台。</w:t>
                  </w:r>
                </w:p>
              </w:tc>
            </w:tr>
            <w:tr>
              <w:tc>
                <w:tcPr>
                  <w:tcW w:type="dxa" w:w="18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5</w:t>
                  </w:r>
                </w:p>
              </w:tc>
              <w:tc>
                <w:tcPr>
                  <w:tcW w:type="dxa" w:w="24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涡旋振荡混合器</w:t>
                  </w:r>
                </w:p>
              </w:tc>
              <w:tc>
                <w:tcPr>
                  <w:tcW w:type="dxa" w:w="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1</w:t>
                  </w:r>
                </w:p>
              </w:tc>
              <w:tc>
                <w:tcPr>
                  <w:tcW w:type="dxa" w:w="19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9"/>
                      <w:color w:val="000000"/>
                    </w:rPr>
                    <w:t>1、技术参数及性能描述</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★1.1 最多支持不少于38位样品同时进行涡旋混合，兼容多种规格的样品管支架。</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1.2 圆周式涡旋振荡，振幅：3mm。</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1.3 样品位数：≥26位（适用Ø10-16mm样品管），≥12位（适用Ø16-32mm）样品管。</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1.4兼容性强，可容纳2mL、15mL、50mL、100mL等不同体积的样品管。</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1.5转速范围：200 - 3000rpm</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1.6 具有过热自动保护功能，提供自适应降速保持不停机和停机后自动复启两种保护方式可选，满足不同实验需求。</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1.7控制终端：采用≥5寸触摸控制彩屏，一体化设计，显示分辨率≥800×480。具备手动和程序双模式控制。</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1.8 具备程序调速功能：每个涡旋振荡程序中，可预设≥6段不同的转速及涡旋时间，运行后可自动变速涡旋混合批量样品，中途无需人工参与。</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2、配置要求</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2.1、多样品涡旋混合器主机 1套</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2.2、5寸触摸控制彩屏及控制软件 1套</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2.3、26位 Ø10-16mm试管固定架 1个</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2.4、12位 Ø16-32mm试管固定架  1个</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2.5、50mL尖底离心管 50支</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2.6、15mL尖底离心管 100支。</w:t>
                  </w:r>
                </w:p>
              </w:tc>
            </w:tr>
            <w:tr>
              <w:tc>
                <w:tcPr>
                  <w:tcW w:type="dxa" w:w="18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6</w:t>
                  </w:r>
                </w:p>
              </w:tc>
              <w:tc>
                <w:tcPr>
                  <w:tcW w:type="dxa" w:w="24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△重金属快检仪</w:t>
                  </w:r>
                </w:p>
              </w:tc>
              <w:tc>
                <w:tcPr>
                  <w:tcW w:type="dxa" w:w="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1</w:t>
                  </w:r>
                </w:p>
              </w:tc>
              <w:tc>
                <w:tcPr>
                  <w:tcW w:type="dxa" w:w="19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9"/>
                      <w:color w:val="000000"/>
                    </w:rPr>
                    <w:t>1、仪器用途：可以快速检测小麦、玉米、稻谷、糙米、大米等粮食中镉（cd）、砷（As)、铅（pb)、硒（Se)、铬（Cr)等重金属的含量。</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2.检测标准：所检测项目符合相对应的国家标准或行业标准，且标准为现行有效。</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3.仪器检测项目：稻谷、糙米、大米、小麦、玉米等粮食样品的镉（cd）、砷（As)、铅（pb)、硒（Se)等重金属含量</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★4.元素含量分析范围：0.03ppm-99.99%。</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★5.仪器检出限：0.03mg/kg</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★6.仪器稳定性：分析精度RSD≤5%（cd 0.2ppm)</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★7.探 测 器：FastSDD探测器，铍窗厚度12.5um，分辨率≤129eV，(Mn:Ka,5.889keV) （提供相关证明文件）</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8、自动进样器：配≥84位机械手式自动进样器</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9、操作安全，整机具有结构迷宫、电子互锁、软件中断三重 X射线防护措施，</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10、辐射安全：设备在使用中无放射泄露。射线防护优于国标《X 射线衍射仪和荧光分析仪卫生防护标准GBZ115-2002》，并提供国家授权的第三方测试机构出具仪器安全性（辐射计量）测试报告。1.2 设备配备，1、 样品杯 NXCup-2 500只，2 、大米参考样 大米成分分析标准物质 3份，3、 无线键盘鼠标套装  1套，4 、样品杯覆膜 Mylar 1000张，5 、压样工具 NXHam-1 1套，6、 样品勺  1只，7 、洗耳球 通用 1只，8 、电源线  1条，9 、维护工具 NX-300专用 1套。</w:t>
                  </w:r>
                </w:p>
              </w:tc>
            </w:tr>
            <w:tr>
              <w:tc>
                <w:tcPr>
                  <w:tcW w:type="dxa" w:w="18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7</w:t>
                  </w:r>
                </w:p>
              </w:tc>
              <w:tc>
                <w:tcPr>
                  <w:tcW w:type="dxa" w:w="24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△零污染制样碎研机</w:t>
                  </w:r>
                </w:p>
              </w:tc>
              <w:tc>
                <w:tcPr>
                  <w:tcW w:type="dxa" w:w="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1</w:t>
                  </w:r>
                </w:p>
              </w:tc>
              <w:tc>
                <w:tcPr>
                  <w:tcW w:type="dxa" w:w="19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9"/>
                      <w:color w:val="000000"/>
                    </w:rPr>
                    <w:t>1.工作方式为振动研磨式。物料装在料钵内，料钵内有破碎环和破碎锤，在高速旋转中料钵形成振动和研磨功能，物料被破碎环和破碎锤击碎研磨；制样粒度均匀，速度快，工作可靠研磨效率高；</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2.样品交叉污染风险低，料钵内壁采用非金属材料，料钵外壁做特氟龙涂层，对样品不会造成二次污染；</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3.结构紧凑，维修方便，操作便捷；</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4.设计合理：整机密封设计，无粉尘污染，符合环保要求；</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5.运转平稳，噪声小，符合安全生产要求；</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6.研磨料钵密封无样品损失,并采用特种抗磨材料制造，使用寿命长；</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7.设备配有定时器；</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8.电动控制液压压盘自紧功能，无需手动操作压盘；</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9.料钵个数：机身自带料钵≥3个，可同时研磨多个样品，另配料钵≥3个；</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10.装料量 （克/钵）：≥100；</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11.装料粒度（mm)： ≤13；</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12.粉碎时间（分）： 1-3min；</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13.出料粒度（目)： 80-200目。</w:t>
                  </w:r>
                </w:p>
              </w:tc>
            </w:tr>
            <w:tr>
              <w:tc>
                <w:tcPr>
                  <w:tcW w:type="dxa" w:w="18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8</w:t>
                  </w:r>
                </w:p>
              </w:tc>
              <w:tc>
                <w:tcPr>
                  <w:tcW w:type="dxa" w:w="24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超声波清洗仪</w:t>
                  </w:r>
                </w:p>
              </w:tc>
              <w:tc>
                <w:tcPr>
                  <w:tcW w:type="dxa" w:w="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1</w:t>
                  </w:r>
                </w:p>
              </w:tc>
              <w:tc>
                <w:tcPr>
                  <w:tcW w:type="dxa" w:w="19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9"/>
                      <w:color w:val="000000"/>
                    </w:rPr>
                    <w:t>1、技术参数及性能描述</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1.1、容积：≥22L；</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1.2、大功率：不大于500W；</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1.3、功率调节：30～100%  ；</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1.4、超声频率：不小于40KHz；</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1.5、脱气调节：有；；</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1.6、定时（min）：1-18或连续；</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1.7、放水口：有；</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1.8、槽内尺寸（mm）：不小于490W x 295L x 150D；</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1.9、外型尺寸（mm）：不大于530W x 350L x 335H；</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2、配置要求</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2.1、清洗仪主机 1台。</w:t>
                  </w:r>
                </w:p>
              </w:tc>
            </w:tr>
            <w:tr>
              <w:tc>
                <w:tcPr>
                  <w:tcW w:type="dxa" w:w="422"/>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合计：</w:t>
                  </w:r>
                </w:p>
              </w:tc>
              <w:tc>
                <w:tcPr>
                  <w:tcW w:type="dxa" w:w="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8台</w:t>
                  </w:r>
                </w:p>
              </w:tc>
              <w:tc>
                <w:tcPr>
                  <w:tcW w:type="dxa" w:w="19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2546"/>
                  <w:gridSpan w:val="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2"/>
                      <w:color w:val="000000"/>
                    </w:rPr>
                    <w:t>备注：</w:t>
                  </w:r>
                  <w:r>
                    <w:rPr>
                      <w:rFonts w:ascii="仿宋_GB2312" w:hAnsi="仿宋_GB2312" w:cs="仿宋_GB2312" w:eastAsia="仿宋_GB2312"/>
                      <w:sz w:val="22"/>
                      <w:color w:val="000000"/>
                    </w:rPr>
                    <w:t>1、采购清单中带△项产品为核心产品；2、采购清单中★项技术参数为核心参数，为采购需求实质性要求，投标供应商必须满足全部要求，任一条负偏离，投标无效。供应商须提供生产厂家经盖章确认的相应功能证明材料(包括但不限于检测报告、官网和功能截图等)，否则不作为评审依据。</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自合同签订后10个工作日</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安装验收完成后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95.00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质保期满后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设备到货安装调试验收合格后按合同约定支付</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向采购人提交质保证明文件，质保期：1年。供应商须向采购人承诺：本次投标产品质量合格、渠道正当，保证本次投标响应文件所有内容和资料均准确、真实、有效、合法，并愿意承担因我方就此弄虚作假所引起的一切法律后果。如发现投标响应文件中提供的产品技术参数及证明材料，及其他有关的评审证明材料有弄虚作假的，将按无效投标处理（承诺书格式自拟）。</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政府采购法》第七十三条、《中华人民共和国民法典》第五百七十七条中的相关条款执行。未按合同或采购文件要求提供的产品或者服务，服务不能满足采购人技术要求，采购单位有权终止合同，甚至对供应商违约行为进行追究。本合同在履行过程中发生的争议，由甲、乙双方当事人协商解决，协商不成的依法向采购人所在地人民法院起诉。</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成交供应商在领取成交通知书时，须提交纸质谈判响应文件正本壹份、副本贰份、电子版壹份（U盘壹份注明单位名称），内容和通过电子化交易平台提交的谈判响应文件一致；纸质投标文件正副本分别胶装成册，采用双面打印。二、采用电子保函提交谈判保证金的，须在提交首次响应文件的截止时间前将电子保函发送至邮箱369655531@qq.com，代理机构收到保函后将由财务处出具保函接收凭证。三、无效投标情形： 供应商或谈判响应文件存在下列情况之一的为无效投标： 1．供应商名称与注册证照名称不符的； 2．不具备谈判文件规定的资格条件或证明材料无效或不全的； 3．无投标有效期或投标有效期不足的； 4．执行标准明显低于采购需求的； 5．不能实质性响应谈判文件采购内容的； 6．报价明显低于其他合格投标供应商的报价，并在现场规定的时间内不能提供有效证明材料且经谈判小组认定形成不正当竞争的； 7．提供虚假证明，开具虚假资质，出现虚假应答或故意隐瞒行为的，除按无效投标处理外还按政府采购相关规定进行相应的处罚； 8．不符合法律、法规和磋商文件规定的其他无效情形。</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法定代表人或单位负责人授权书</w:t>
            </w:r>
          </w:p>
        </w:tc>
        <w:tc>
          <w:tcPr>
            <w:tcW w:type="dxa" w:w="332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法定代表人或单位负责人授权书及被授权人身份证（法定代表人或单位负责人直接参加投标除外，但须出示法定代表人或单位负责人身份证复印件及营业执照复印件）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交货时间、地点、方式，验收标准和方法等</w:t>
            </w:r>
          </w:p>
        </w:tc>
        <w:tc>
          <w:tcPr>
            <w:tcW w:type="dxa" w:w="3322"/>
          </w:tcPr>
          <w:p>
            <w:pPr>
              <w:pStyle w:val="null3"/>
            </w:pPr>
            <w:r>
              <w:rPr>
                <w:rFonts w:ascii="仿宋_GB2312" w:hAnsi="仿宋_GB2312" w:cs="仿宋_GB2312" w:eastAsia="仿宋_GB2312"/>
              </w:rPr>
              <w:t>谈判供应商提供的交货时间、地点、方式，验收标准和方法等满足竞争性谈判文件中的相关要求</w:t>
            </w:r>
          </w:p>
        </w:tc>
        <w:tc>
          <w:tcPr>
            <w:tcW w:type="dxa" w:w="1661"/>
          </w:tcPr>
          <w:p>
            <w:pPr>
              <w:pStyle w:val="null3"/>
            </w:pPr>
            <w:r>
              <w:rPr>
                <w:rFonts w:ascii="仿宋_GB2312" w:hAnsi="仿宋_GB2312" w:cs="仿宋_GB2312" w:eastAsia="仿宋_GB2312"/>
              </w:rPr>
              <w:t>商务应答表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技术参数与性能指标</w:t>
            </w:r>
          </w:p>
        </w:tc>
        <w:tc>
          <w:tcPr>
            <w:tcW w:type="dxa" w:w="3322"/>
          </w:tcPr>
          <w:p>
            <w:pPr>
              <w:pStyle w:val="null3"/>
            </w:pPr>
            <w:r>
              <w:rPr>
                <w:rFonts w:ascii="仿宋_GB2312" w:hAnsi="仿宋_GB2312" w:cs="仿宋_GB2312" w:eastAsia="仿宋_GB2312"/>
              </w:rPr>
              <w:t>谈判供应商提供的技术参数与性能指标满足竞争性谈判文件中的相关要求</w:t>
            </w:r>
          </w:p>
        </w:tc>
        <w:tc>
          <w:tcPr>
            <w:tcW w:type="dxa" w:w="1661"/>
          </w:tcPr>
          <w:p>
            <w:pPr>
              <w:pStyle w:val="null3"/>
            </w:pPr>
            <w:r>
              <w:rPr>
                <w:rFonts w:ascii="仿宋_GB2312" w:hAnsi="仿宋_GB2312" w:cs="仿宋_GB2312" w:eastAsia="仿宋_GB2312"/>
              </w:rPr>
              <w:t>技术方案及售后服务.docx 产品技术参数表.docx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按照要求报价且报价未超采购预算，报价唯一</w:t>
            </w:r>
          </w:p>
        </w:tc>
        <w:tc>
          <w:tcPr>
            <w:tcW w:type="dxa" w:w="3322"/>
          </w:tcPr>
          <w:p>
            <w:pPr>
              <w:pStyle w:val="null3"/>
            </w:pPr>
            <w:r>
              <w:rPr>
                <w:rFonts w:ascii="仿宋_GB2312" w:hAnsi="仿宋_GB2312" w:cs="仿宋_GB2312" w:eastAsia="仿宋_GB2312"/>
              </w:rPr>
              <w:t>报价须未超过谈判文件中规定的预算金额或者最高限价</w:t>
            </w:r>
          </w:p>
        </w:tc>
        <w:tc>
          <w:tcPr>
            <w:tcW w:type="dxa" w:w="1661"/>
          </w:tcPr>
          <w:p>
            <w:pPr>
              <w:pStyle w:val="null3"/>
            </w:pPr>
            <w:r>
              <w:rPr>
                <w:rFonts w:ascii="仿宋_GB2312" w:hAnsi="仿宋_GB2312" w:cs="仿宋_GB2312" w:eastAsia="仿宋_GB2312"/>
              </w:rPr>
              <w:t>标的清单 报价表 产品技术参数表.docx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谈判保证金</w:t>
            </w:r>
          </w:p>
        </w:tc>
        <w:tc>
          <w:tcPr>
            <w:tcW w:type="dxa" w:w="3322"/>
          </w:tcPr>
          <w:p>
            <w:pPr>
              <w:pStyle w:val="null3"/>
            </w:pPr>
            <w:r>
              <w:rPr>
                <w:rFonts w:ascii="仿宋_GB2312" w:hAnsi="仿宋_GB2312" w:cs="仿宋_GB2312" w:eastAsia="仿宋_GB2312"/>
              </w:rPr>
              <w:t>供应商响应文件中保证金缴纳凭证符合要求</w:t>
            </w:r>
          </w:p>
        </w:tc>
        <w:tc>
          <w:tcPr>
            <w:tcW w:type="dxa" w:w="1661"/>
          </w:tcPr>
          <w:p>
            <w:pPr>
              <w:pStyle w:val="null3"/>
            </w:pPr>
            <w:r>
              <w:rPr>
                <w:rFonts w:ascii="仿宋_GB2312" w:hAnsi="仿宋_GB2312" w:cs="仿宋_GB2312" w:eastAsia="仿宋_GB2312"/>
              </w:rPr>
              <w:t>其他证明材料.docx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响应文件格式、签署、盖章</w:t>
            </w:r>
          </w:p>
        </w:tc>
        <w:tc>
          <w:tcPr>
            <w:tcW w:type="dxa" w:w="3322"/>
          </w:tcPr>
          <w:p>
            <w:pPr>
              <w:pStyle w:val="null3"/>
            </w:pPr>
            <w:r>
              <w:rPr>
                <w:rFonts w:ascii="仿宋_GB2312" w:hAnsi="仿宋_GB2312" w:cs="仿宋_GB2312" w:eastAsia="仿宋_GB2312"/>
              </w:rPr>
              <w:t>响应文件格式符合谈判文件要求，响应文件上法定代表人或其授权代表的签字、供应商的单位公章齐全，符合谈判文件规定</w:t>
            </w:r>
          </w:p>
        </w:tc>
        <w:tc>
          <w:tcPr>
            <w:tcW w:type="dxa" w:w="1661"/>
          </w:tcPr>
          <w:p>
            <w:pPr>
              <w:pStyle w:val="null3"/>
            </w:pPr>
            <w:r>
              <w:rPr>
                <w:rFonts w:ascii="仿宋_GB2312" w:hAnsi="仿宋_GB2312" w:cs="仿宋_GB2312" w:eastAsia="仿宋_GB2312"/>
              </w:rPr>
              <w:t>响应文件封面 技术方案及售后服务.docx 供应商应提交的相关资格证明材料.docx 中小企业声明函 残疾人福利性单位声明函 商务应答表 标的清单 其他证明材料.docx 报价表 产品技术参数表.docx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相同品牌产品</w:t>
            </w:r>
          </w:p>
        </w:tc>
        <w:tc>
          <w:tcPr>
            <w:tcW w:type="dxa" w:w="3322"/>
          </w:tcPr>
          <w:p>
            <w:pPr>
              <w:pStyle w:val="null3"/>
            </w:pPr>
            <w:r>
              <w:rPr>
                <w:rFonts w:ascii="仿宋_GB2312" w:hAnsi="仿宋_GB2312" w:cs="仿宋_GB2312" w:eastAsia="仿宋_GB2312"/>
              </w:rPr>
              <w:t>提供相同品牌核心产品的不同供应商参加采购活动的，以其中通过资格审查、符合性审查要求且首次报价最低的获得后续谈判资格；报价相同的，由谈判小组依次比较拟投入的人员、同类项目业绩、技术方案及售后服务等内容，择优确定一个供应商参加谈判；其他投标无效，不再进入下一谈判环节。在符合性审查、有效报价环节提供核心产品品牌不足3个的，视为有效响应供应商不足3家。</w:t>
            </w:r>
          </w:p>
        </w:tc>
        <w:tc>
          <w:tcPr>
            <w:tcW w:type="dxa" w:w="1661"/>
          </w:tcPr>
          <w:p>
            <w:pPr>
              <w:pStyle w:val="null3"/>
            </w:pPr>
            <w:r>
              <w:rPr>
                <w:rFonts w:ascii="仿宋_GB2312" w:hAnsi="仿宋_GB2312" w:cs="仿宋_GB2312" w:eastAsia="仿宋_GB2312"/>
              </w:rPr>
              <w:t>技术方案及售后服务.docx 产品技术参数表.docx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对谈判文件的响应程度</w:t>
            </w:r>
          </w:p>
        </w:tc>
        <w:tc>
          <w:tcPr>
            <w:tcW w:type="dxa" w:w="3322"/>
          </w:tcPr>
          <w:p>
            <w:pPr>
              <w:pStyle w:val="null3"/>
            </w:pPr>
            <w:r>
              <w:rPr>
                <w:rFonts w:ascii="仿宋_GB2312" w:hAnsi="仿宋_GB2312" w:cs="仿宋_GB2312" w:eastAsia="仿宋_GB2312"/>
              </w:rPr>
              <w:t>要求全面响应，不能有任何采购人不能接受的附件条件。</w:t>
            </w:r>
          </w:p>
        </w:tc>
        <w:tc>
          <w:tcPr>
            <w:tcW w:type="dxa" w:w="1661"/>
          </w:tcPr>
          <w:p>
            <w:pPr>
              <w:pStyle w:val="null3"/>
            </w:pPr>
            <w:r>
              <w:rPr>
                <w:rFonts w:ascii="仿宋_GB2312" w:hAnsi="仿宋_GB2312" w:cs="仿宋_GB2312" w:eastAsia="仿宋_GB2312"/>
              </w:rPr>
              <w:t>响应文件封面 技术方案及售后服务.docx 供应商应提交的相关资格证明材料.docx 中小企业声明函 残疾人福利性单位声明函 商务应答表 其他证明材料.docx 标的清单 报价表 产品技术参数表.docx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供应商提交的成本核算表，应符合《中国境内生产的组件成本核算基本规则》的相关要求</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谈判小组从满足谈判文件全部实质性要求、且进入最后报价环节的供应商中，按经评审的最终报价由低到高排序，推荐前3家为成交候选供应商；报价相同的，按技术指标优劣顺序推荐，仍相同的并列推荐。</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详见附件：技术方案及售后服务.docx</w:t>
      </w:r>
    </w:p>
    <w:p>
      <w:pPr>
        <w:pStyle w:val="null3"/>
        <w:ind w:firstLine="960"/>
      </w:pPr>
      <w:r>
        <w:rPr>
          <w:rFonts w:ascii="仿宋_GB2312" w:hAnsi="仿宋_GB2312" w:cs="仿宋_GB2312" w:eastAsia="仿宋_GB2312"/>
        </w:rPr>
        <w:t>详见附件：其他证明材料.docx</w:t>
      </w:r>
    </w:p>
    <w:p>
      <w:pPr>
        <w:pStyle w:val="null3"/>
        <w:ind w:firstLine="960"/>
      </w:pPr>
      <w:r>
        <w:rPr>
          <w:rFonts w:ascii="仿宋_GB2312" w:hAnsi="仿宋_GB2312" w:cs="仿宋_GB2312" w:eastAsia="仿宋_GB2312"/>
        </w:rPr>
        <w:t>详见附件：中国境内生产的组件成本核算基本规则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