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A42F8">
      <w:pPr>
        <w:pStyle w:val="2"/>
        <w:pageBreakBefore w:val="0"/>
        <w:numPr>
          <w:ilvl w:val="0"/>
          <w:numId w:val="1"/>
        </w:numPr>
        <w:kinsoku/>
        <w:wordWrap/>
        <w:topLinePunct w:val="0"/>
        <w:bidi w:val="0"/>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合同条款</w:t>
      </w:r>
    </w:p>
    <w:p w14:paraId="15D92F82">
      <w:pPr>
        <w:pageBreakBefore w:val="0"/>
        <w:kinsoku/>
        <w:wordWrap/>
        <w:topLinePunct w:val="0"/>
        <w:bidi w:val="0"/>
        <w:spacing w:line="520" w:lineRule="exact"/>
        <w:ind w:firstLine="419"/>
        <w:jc w:val="center"/>
        <w:rPr>
          <w:rFonts w:hint="eastAsia" w:ascii="宋体" w:hAnsi="宋体" w:eastAsia="宋体" w:cs="宋体"/>
          <w:color w:val="auto"/>
          <w:sz w:val="24"/>
          <w:szCs w:val="24"/>
        </w:rPr>
      </w:pPr>
      <w:r>
        <w:rPr>
          <w:rFonts w:hint="eastAsia" w:ascii="宋体" w:hAnsi="宋体" w:eastAsia="宋体" w:cs="宋体"/>
          <w:color w:val="auto"/>
          <w:sz w:val="24"/>
          <w:szCs w:val="24"/>
        </w:rPr>
        <w:t>（本合同为合同样稿，最终稿由双方协商后确定）</w:t>
      </w:r>
    </w:p>
    <w:p w14:paraId="41EB9E16">
      <w:pPr>
        <w:pageBreakBefore w:val="0"/>
        <w:kinsoku/>
        <w:wordWrap/>
        <w:topLinePunct w:val="0"/>
        <w:bidi w:val="0"/>
        <w:spacing w:line="520" w:lineRule="exact"/>
        <w:ind w:firstLine="419"/>
        <w:jc w:val="center"/>
        <w:rPr>
          <w:rFonts w:hint="eastAsia" w:ascii="宋体" w:hAnsi="宋体" w:eastAsia="宋体" w:cs="宋体"/>
          <w:color w:val="auto"/>
          <w:sz w:val="28"/>
          <w:szCs w:val="28"/>
        </w:rPr>
      </w:pPr>
    </w:p>
    <w:p w14:paraId="4D7EFFE4">
      <w:pPr>
        <w:pStyle w:val="18"/>
        <w:pageBreakBefore w:val="0"/>
        <w:kinsoku/>
        <w:wordWrap/>
        <w:topLinePunct w:val="0"/>
        <w:bidi w:val="0"/>
        <w:spacing w:line="520" w:lineRule="exact"/>
        <w:ind w:firstLine="480"/>
        <w:rPr>
          <w:rFonts w:hint="eastAsia" w:ascii="宋体" w:hAnsi="宋体" w:eastAsia="宋体" w:cs="宋体"/>
          <w:color w:val="auto"/>
          <w:szCs w:val="24"/>
        </w:rPr>
      </w:pPr>
      <w:bookmarkStart w:id="0" w:name="_Toc497206293"/>
      <w:bookmarkStart w:id="1" w:name="_Toc497206183"/>
      <w:r>
        <w:rPr>
          <w:rFonts w:hint="eastAsia" w:ascii="宋体" w:hAnsi="宋体" w:eastAsia="宋体" w:cs="宋体"/>
          <w:color w:val="auto"/>
          <w:szCs w:val="24"/>
        </w:rPr>
        <w:t xml:space="preserve">合同编号：                                         </w:t>
      </w:r>
    </w:p>
    <w:p w14:paraId="7507E1E3">
      <w:pPr>
        <w:pStyle w:val="18"/>
        <w:pageBreakBefore w:val="0"/>
        <w:kinsoku/>
        <w:wordWrap/>
        <w:topLinePunct w:val="0"/>
        <w:bidi w:val="0"/>
        <w:spacing w:line="520" w:lineRule="exact"/>
        <w:ind w:firstLine="480"/>
        <w:rPr>
          <w:rFonts w:hint="eastAsia" w:ascii="宋体" w:hAnsi="宋体" w:eastAsia="宋体" w:cs="宋体"/>
          <w:color w:val="auto"/>
          <w:szCs w:val="24"/>
        </w:rPr>
      </w:pPr>
      <w:r>
        <w:rPr>
          <w:rFonts w:hint="eastAsia" w:ascii="宋体" w:hAnsi="宋体" w:eastAsia="宋体" w:cs="宋体"/>
          <w:color w:val="auto"/>
          <w:szCs w:val="24"/>
        </w:rPr>
        <w:t xml:space="preserve">签订地点：          </w:t>
      </w:r>
    </w:p>
    <w:p w14:paraId="4366D9AC">
      <w:pPr>
        <w:pStyle w:val="18"/>
        <w:pageBreakBefore w:val="0"/>
        <w:kinsoku/>
        <w:wordWrap/>
        <w:topLinePunct w:val="0"/>
        <w:bidi w:val="0"/>
        <w:spacing w:line="520" w:lineRule="exact"/>
        <w:ind w:firstLine="480"/>
        <w:rPr>
          <w:rFonts w:hint="eastAsia" w:ascii="宋体" w:hAnsi="宋体" w:eastAsia="宋体" w:cs="宋体"/>
          <w:color w:val="auto"/>
          <w:szCs w:val="24"/>
        </w:rPr>
      </w:pPr>
      <w:r>
        <w:rPr>
          <w:rFonts w:hint="eastAsia" w:ascii="宋体" w:hAnsi="宋体" w:eastAsia="宋体" w:cs="宋体"/>
          <w:color w:val="auto"/>
          <w:szCs w:val="24"/>
        </w:rPr>
        <w:t>签订时间</w:t>
      </w:r>
      <w:r>
        <w:rPr>
          <w:rFonts w:hint="eastAsia" w:ascii="宋体" w:hAnsi="宋体" w:eastAsia="宋体" w:cs="宋体"/>
          <w:b/>
          <w:color w:val="auto"/>
          <w:szCs w:val="24"/>
        </w:rPr>
        <w:t>:</w:t>
      </w:r>
    </w:p>
    <w:p w14:paraId="40839F83">
      <w:pPr>
        <w:pStyle w:val="18"/>
        <w:pageBreakBefore w:val="0"/>
        <w:kinsoku/>
        <w:wordWrap/>
        <w:topLinePunct w:val="0"/>
        <w:bidi w:val="0"/>
        <w:spacing w:line="520" w:lineRule="exact"/>
        <w:ind w:firstLine="480"/>
        <w:rPr>
          <w:rFonts w:hint="eastAsia" w:ascii="宋体" w:hAnsi="宋体" w:eastAsia="宋体" w:cs="宋体"/>
          <w:color w:val="auto"/>
          <w:szCs w:val="24"/>
        </w:rPr>
      </w:pPr>
      <w:r>
        <w:rPr>
          <w:rFonts w:hint="eastAsia" w:ascii="宋体" w:hAnsi="宋体" w:eastAsia="宋体" w:cs="宋体"/>
          <w:color w:val="auto"/>
          <w:szCs w:val="24"/>
        </w:rPr>
        <w:t xml:space="preserve">采购人（甲方）：                                          </w:t>
      </w:r>
    </w:p>
    <w:p w14:paraId="201E7A17">
      <w:pPr>
        <w:pStyle w:val="18"/>
        <w:pageBreakBefore w:val="0"/>
        <w:kinsoku/>
        <w:wordWrap/>
        <w:topLinePunct w:val="0"/>
        <w:bidi w:val="0"/>
        <w:spacing w:line="520" w:lineRule="exact"/>
        <w:ind w:firstLine="480"/>
        <w:rPr>
          <w:rFonts w:hint="eastAsia" w:ascii="宋体" w:hAnsi="宋体" w:eastAsia="宋体" w:cs="宋体"/>
          <w:color w:val="auto"/>
          <w:szCs w:val="24"/>
        </w:rPr>
      </w:pPr>
      <w:r>
        <w:rPr>
          <w:rFonts w:hint="eastAsia" w:ascii="宋体" w:hAnsi="宋体" w:eastAsia="宋体" w:cs="宋体"/>
          <w:color w:val="auto"/>
          <w:szCs w:val="24"/>
        </w:rPr>
        <w:t xml:space="preserve">供应商（乙方）：                              </w:t>
      </w:r>
    </w:p>
    <w:p w14:paraId="5E90AC2B">
      <w:pPr>
        <w:pageBreakBefore w:val="0"/>
        <w:tabs>
          <w:tab w:val="left" w:pos="735"/>
        </w:tabs>
        <w:kinsoku/>
        <w:wordWrap/>
        <w:topLinePunct w:val="0"/>
        <w:autoSpaceDE w:val="0"/>
        <w:autoSpaceDN w:val="0"/>
        <w:bidi w:val="0"/>
        <w:adjustRightInd w:val="0"/>
        <w:snapToGrid w:val="0"/>
        <w:spacing w:line="520" w:lineRule="exact"/>
        <w:ind w:firstLine="480" w:firstLineChars="200"/>
        <w:outlineLvl w:val="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根据《中华人民共和国政府采购法》及实施条例、《中华人民共和国民法典》和</w:t>
      </w:r>
      <w:r>
        <w:rPr>
          <w:rFonts w:hint="eastAsia" w:ascii="宋体" w:hAnsi="宋体" w:eastAsia="宋体" w:cs="宋体"/>
          <w:color w:val="auto"/>
          <w:sz w:val="24"/>
          <w:szCs w:val="24"/>
          <w:lang w:val="en-US" w:eastAsia="zh-CN"/>
        </w:rPr>
        <w:t>检验设备购置</w:t>
      </w:r>
      <w:r>
        <w:rPr>
          <w:rFonts w:hint="eastAsia" w:ascii="宋体" w:hAnsi="宋体" w:eastAsia="宋体" w:cs="宋体"/>
          <w:color w:val="auto"/>
          <w:sz w:val="24"/>
          <w:szCs w:val="24"/>
        </w:rPr>
        <w:t>（采购项目编号：</w:t>
      </w:r>
      <w:r>
        <w:rPr>
          <w:rFonts w:hint="eastAsia" w:ascii="宋体" w:hAnsi="宋体" w:eastAsia="宋体" w:cs="宋体"/>
          <w:color w:val="auto"/>
          <w:sz w:val="24"/>
          <w:szCs w:val="24"/>
          <w:lang w:val="en-US" w:eastAsia="zh-CN"/>
        </w:rPr>
        <w:t>RDX-ZB2026第002号</w:t>
      </w:r>
      <w:r>
        <w:rPr>
          <w:rFonts w:hint="eastAsia" w:ascii="宋体" w:hAnsi="宋体" w:eastAsia="宋体" w:cs="宋体"/>
          <w:color w:val="auto"/>
          <w:sz w:val="24"/>
          <w:szCs w:val="24"/>
        </w:rPr>
        <w:t>）的竞争性</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采购文件、成交供应商的</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响应文件，为保证甲方采购项目的顺利实施，甲、乙双方同意签订本合同，并共同遵守如下条款：</w:t>
      </w:r>
    </w:p>
    <w:p w14:paraId="28D68AA6">
      <w:pPr>
        <w:pageBreakBefore w:val="0"/>
        <w:tabs>
          <w:tab w:val="left" w:pos="735"/>
        </w:tabs>
        <w:kinsoku/>
        <w:wordWrap/>
        <w:topLinePunct w:val="0"/>
        <w:autoSpaceDE w:val="0"/>
        <w:autoSpaceDN w:val="0"/>
        <w:bidi w:val="0"/>
        <w:adjustRightInd w:val="0"/>
        <w:snapToGrid w:val="0"/>
        <w:spacing w:line="520" w:lineRule="exact"/>
        <w:ind w:firstLine="482" w:firstLineChars="200"/>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一、合同标的:</w:t>
      </w:r>
      <w:bookmarkEnd w:id="0"/>
      <w:bookmarkEnd w:id="1"/>
      <w:bookmarkStart w:id="28" w:name="_GoBack"/>
      <w:bookmarkEnd w:id="28"/>
    </w:p>
    <w:p w14:paraId="6426E226">
      <w:pPr>
        <w:pageBreakBefore w:val="0"/>
        <w:kinsoku/>
        <w:wordWrap/>
        <w:topLinePunct w:val="0"/>
        <w:bidi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乙方向甲方提供下列货物（产品）：</w:t>
      </w:r>
    </w:p>
    <w:tbl>
      <w:tblPr>
        <w:tblStyle w:val="11"/>
        <w:tblW w:w="8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66"/>
        <w:gridCol w:w="935"/>
        <w:gridCol w:w="992"/>
        <w:gridCol w:w="1418"/>
        <w:gridCol w:w="1701"/>
        <w:gridCol w:w="1276"/>
      </w:tblGrid>
      <w:tr w14:paraId="0BD72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6" w:type="dxa"/>
            <w:noWrap w:val="0"/>
            <w:vAlign w:val="center"/>
          </w:tcPr>
          <w:p w14:paraId="32BFD44B">
            <w:pPr>
              <w:pageBreakBefore w:val="0"/>
              <w:kinsoku/>
              <w:wordWrap/>
              <w:topLinePunct w:val="0"/>
              <w:bidi w:val="0"/>
              <w:spacing w:line="520" w:lineRule="exact"/>
              <w:jc w:val="center"/>
              <w:rPr>
                <w:rFonts w:hint="eastAsia" w:ascii="宋体" w:hAnsi="宋体" w:eastAsia="宋体" w:cs="宋体"/>
                <w:b/>
                <w:color w:val="auto"/>
                <w:sz w:val="24"/>
                <w:szCs w:val="24"/>
              </w:rPr>
            </w:pPr>
            <w:r>
              <w:rPr>
                <w:rFonts w:hint="eastAsia" w:ascii="宋体" w:hAnsi="宋体" w:eastAsia="宋体" w:cs="宋体"/>
                <w:color w:val="auto"/>
                <w:sz w:val="24"/>
                <w:szCs w:val="24"/>
              </w:rPr>
              <w:t>货物名称</w:t>
            </w:r>
          </w:p>
        </w:tc>
        <w:tc>
          <w:tcPr>
            <w:tcW w:w="766" w:type="dxa"/>
            <w:noWrap w:val="0"/>
            <w:vAlign w:val="center"/>
          </w:tcPr>
          <w:p w14:paraId="41B3FC0B">
            <w:pPr>
              <w:pageBreakBefore w:val="0"/>
              <w:kinsoku/>
              <w:wordWrap/>
              <w:topLinePunct w:val="0"/>
              <w:bidi w:val="0"/>
              <w:spacing w:line="520" w:lineRule="exact"/>
              <w:jc w:val="center"/>
              <w:rPr>
                <w:rFonts w:hint="eastAsia" w:ascii="宋体" w:hAnsi="宋体" w:eastAsia="宋体" w:cs="宋体"/>
                <w:b/>
                <w:color w:val="auto"/>
                <w:sz w:val="24"/>
                <w:szCs w:val="24"/>
              </w:rPr>
            </w:pPr>
            <w:r>
              <w:rPr>
                <w:rFonts w:hint="eastAsia" w:ascii="宋体" w:hAnsi="宋体" w:eastAsia="宋体" w:cs="宋体"/>
                <w:color w:val="auto"/>
                <w:sz w:val="24"/>
                <w:szCs w:val="24"/>
              </w:rPr>
              <w:t>规格</w:t>
            </w:r>
          </w:p>
        </w:tc>
        <w:tc>
          <w:tcPr>
            <w:tcW w:w="935" w:type="dxa"/>
            <w:noWrap w:val="0"/>
            <w:vAlign w:val="center"/>
          </w:tcPr>
          <w:p w14:paraId="3B31F8ED">
            <w:pPr>
              <w:pageBreakBefore w:val="0"/>
              <w:kinsoku/>
              <w:wordWrap/>
              <w:topLinePunct w:val="0"/>
              <w:bidi w:val="0"/>
              <w:spacing w:line="520" w:lineRule="exact"/>
              <w:jc w:val="center"/>
              <w:rPr>
                <w:rFonts w:hint="eastAsia" w:ascii="宋体" w:hAnsi="宋体" w:eastAsia="宋体" w:cs="宋体"/>
                <w:b/>
                <w:color w:val="auto"/>
                <w:sz w:val="24"/>
                <w:szCs w:val="24"/>
              </w:rPr>
            </w:pPr>
            <w:r>
              <w:rPr>
                <w:rFonts w:hint="eastAsia" w:ascii="宋体" w:hAnsi="宋体" w:eastAsia="宋体" w:cs="宋体"/>
                <w:color w:val="auto"/>
                <w:sz w:val="24"/>
                <w:szCs w:val="24"/>
              </w:rPr>
              <w:t>单位</w:t>
            </w:r>
          </w:p>
        </w:tc>
        <w:tc>
          <w:tcPr>
            <w:tcW w:w="992" w:type="dxa"/>
            <w:noWrap w:val="0"/>
            <w:vAlign w:val="center"/>
          </w:tcPr>
          <w:p w14:paraId="5BDF289A">
            <w:pPr>
              <w:pageBreakBefore w:val="0"/>
              <w:kinsoku/>
              <w:wordWrap/>
              <w:topLinePunct w:val="0"/>
              <w:bidi w:val="0"/>
              <w:spacing w:line="520" w:lineRule="exact"/>
              <w:jc w:val="center"/>
              <w:rPr>
                <w:rFonts w:hint="eastAsia" w:ascii="宋体" w:hAnsi="宋体" w:eastAsia="宋体" w:cs="宋体"/>
                <w:b/>
                <w:color w:val="auto"/>
                <w:sz w:val="24"/>
                <w:szCs w:val="24"/>
              </w:rPr>
            </w:pPr>
            <w:r>
              <w:rPr>
                <w:rFonts w:hint="eastAsia" w:ascii="宋体" w:hAnsi="宋体" w:eastAsia="宋体" w:cs="宋体"/>
                <w:color w:val="auto"/>
                <w:sz w:val="24"/>
                <w:szCs w:val="24"/>
              </w:rPr>
              <w:t>数量</w:t>
            </w:r>
          </w:p>
        </w:tc>
        <w:tc>
          <w:tcPr>
            <w:tcW w:w="1418" w:type="dxa"/>
            <w:noWrap w:val="0"/>
            <w:vAlign w:val="bottom"/>
          </w:tcPr>
          <w:p w14:paraId="4BC5678D">
            <w:pPr>
              <w:pageBreakBefore w:val="0"/>
              <w:kinsoku/>
              <w:wordWrap/>
              <w:topLinePunct w:val="0"/>
              <w:bidi w:val="0"/>
              <w:spacing w:line="52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单价（元）</w:t>
            </w:r>
          </w:p>
        </w:tc>
        <w:tc>
          <w:tcPr>
            <w:tcW w:w="1701" w:type="dxa"/>
            <w:noWrap w:val="0"/>
            <w:vAlign w:val="bottom"/>
          </w:tcPr>
          <w:p w14:paraId="60A40A36">
            <w:pPr>
              <w:pageBreakBefore w:val="0"/>
              <w:kinsoku/>
              <w:wordWrap/>
              <w:topLinePunct w:val="0"/>
              <w:bidi w:val="0"/>
              <w:spacing w:line="52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金额（元）</w:t>
            </w:r>
          </w:p>
        </w:tc>
        <w:tc>
          <w:tcPr>
            <w:tcW w:w="1276" w:type="dxa"/>
            <w:noWrap w:val="0"/>
            <w:vAlign w:val="center"/>
          </w:tcPr>
          <w:p w14:paraId="5F7D9FAB">
            <w:pPr>
              <w:pageBreakBefore w:val="0"/>
              <w:kinsoku/>
              <w:wordWrap/>
              <w:topLinePunct w:val="0"/>
              <w:bidi w:val="0"/>
              <w:spacing w:line="520" w:lineRule="exact"/>
              <w:jc w:val="center"/>
              <w:rPr>
                <w:rFonts w:hint="eastAsia" w:ascii="宋体" w:hAnsi="宋体" w:eastAsia="宋体" w:cs="宋体"/>
                <w:b/>
                <w:color w:val="auto"/>
                <w:sz w:val="24"/>
                <w:szCs w:val="24"/>
                <w:lang w:eastAsia="zh-CN"/>
              </w:rPr>
            </w:pPr>
            <w:r>
              <w:rPr>
                <w:rFonts w:hint="eastAsia" w:ascii="宋体" w:hAnsi="宋体" w:eastAsia="宋体" w:cs="宋体"/>
                <w:color w:val="auto"/>
                <w:sz w:val="24"/>
                <w:szCs w:val="24"/>
                <w:lang w:val="en-US" w:eastAsia="zh-CN"/>
              </w:rPr>
              <w:t>交货期</w:t>
            </w:r>
          </w:p>
        </w:tc>
      </w:tr>
      <w:tr w14:paraId="5E48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526" w:type="dxa"/>
            <w:noWrap w:val="0"/>
            <w:vAlign w:val="center"/>
          </w:tcPr>
          <w:p w14:paraId="3D32D81B">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766" w:type="dxa"/>
            <w:noWrap w:val="0"/>
            <w:vAlign w:val="center"/>
          </w:tcPr>
          <w:p w14:paraId="4F614FFF">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935" w:type="dxa"/>
            <w:noWrap w:val="0"/>
            <w:vAlign w:val="center"/>
          </w:tcPr>
          <w:p w14:paraId="12410D0C">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992" w:type="dxa"/>
            <w:noWrap w:val="0"/>
            <w:vAlign w:val="center"/>
          </w:tcPr>
          <w:p w14:paraId="354836B7">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1418" w:type="dxa"/>
            <w:noWrap w:val="0"/>
            <w:vAlign w:val="center"/>
          </w:tcPr>
          <w:p w14:paraId="0EE28103">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1701" w:type="dxa"/>
            <w:noWrap w:val="0"/>
            <w:vAlign w:val="center"/>
          </w:tcPr>
          <w:p w14:paraId="00F01CFB">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1276" w:type="dxa"/>
            <w:noWrap w:val="0"/>
            <w:vAlign w:val="center"/>
          </w:tcPr>
          <w:p w14:paraId="38067624">
            <w:pPr>
              <w:pageBreakBefore w:val="0"/>
              <w:kinsoku/>
              <w:wordWrap/>
              <w:topLinePunct w:val="0"/>
              <w:bidi w:val="0"/>
              <w:spacing w:line="520" w:lineRule="exact"/>
              <w:jc w:val="center"/>
              <w:rPr>
                <w:rFonts w:hint="eastAsia" w:ascii="宋体" w:hAnsi="宋体" w:eastAsia="宋体" w:cs="宋体"/>
                <w:b/>
                <w:color w:val="auto"/>
                <w:sz w:val="24"/>
                <w:szCs w:val="24"/>
              </w:rPr>
            </w:pPr>
          </w:p>
        </w:tc>
      </w:tr>
      <w:tr w14:paraId="4148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526" w:type="dxa"/>
            <w:noWrap w:val="0"/>
            <w:vAlign w:val="center"/>
          </w:tcPr>
          <w:p w14:paraId="7C5304C3">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766" w:type="dxa"/>
            <w:noWrap w:val="0"/>
            <w:vAlign w:val="center"/>
          </w:tcPr>
          <w:p w14:paraId="02808FE4">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935" w:type="dxa"/>
            <w:noWrap w:val="0"/>
            <w:vAlign w:val="center"/>
          </w:tcPr>
          <w:p w14:paraId="16B64F6D">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992" w:type="dxa"/>
            <w:noWrap w:val="0"/>
            <w:vAlign w:val="center"/>
          </w:tcPr>
          <w:p w14:paraId="1C868C2A">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1418" w:type="dxa"/>
            <w:noWrap w:val="0"/>
            <w:vAlign w:val="center"/>
          </w:tcPr>
          <w:p w14:paraId="130C75CC">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1701" w:type="dxa"/>
            <w:noWrap w:val="0"/>
            <w:vAlign w:val="center"/>
          </w:tcPr>
          <w:p w14:paraId="4088A78F">
            <w:pPr>
              <w:pageBreakBefore w:val="0"/>
              <w:kinsoku/>
              <w:wordWrap/>
              <w:topLinePunct w:val="0"/>
              <w:bidi w:val="0"/>
              <w:spacing w:line="520" w:lineRule="exact"/>
              <w:jc w:val="center"/>
              <w:rPr>
                <w:rFonts w:hint="eastAsia" w:ascii="宋体" w:hAnsi="宋体" w:eastAsia="宋体" w:cs="宋体"/>
                <w:b/>
                <w:color w:val="auto"/>
                <w:sz w:val="24"/>
                <w:szCs w:val="24"/>
              </w:rPr>
            </w:pPr>
          </w:p>
        </w:tc>
        <w:tc>
          <w:tcPr>
            <w:tcW w:w="1276" w:type="dxa"/>
            <w:noWrap w:val="0"/>
            <w:vAlign w:val="center"/>
          </w:tcPr>
          <w:p w14:paraId="0F96F0A8">
            <w:pPr>
              <w:pageBreakBefore w:val="0"/>
              <w:kinsoku/>
              <w:wordWrap/>
              <w:topLinePunct w:val="0"/>
              <w:bidi w:val="0"/>
              <w:spacing w:line="520" w:lineRule="exact"/>
              <w:jc w:val="center"/>
              <w:rPr>
                <w:rFonts w:hint="eastAsia" w:ascii="宋体" w:hAnsi="宋体" w:eastAsia="宋体" w:cs="宋体"/>
                <w:b/>
                <w:color w:val="auto"/>
                <w:sz w:val="24"/>
                <w:szCs w:val="24"/>
              </w:rPr>
            </w:pPr>
          </w:p>
        </w:tc>
      </w:tr>
      <w:tr w14:paraId="4AB2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526" w:type="dxa"/>
            <w:noWrap w:val="0"/>
            <w:vAlign w:val="center"/>
          </w:tcPr>
          <w:p w14:paraId="7DF23318">
            <w:pPr>
              <w:pageBreakBefore w:val="0"/>
              <w:kinsoku/>
              <w:wordWrap/>
              <w:topLinePunct w:val="0"/>
              <w:bidi w:val="0"/>
              <w:spacing w:line="520" w:lineRule="exact"/>
              <w:rPr>
                <w:rFonts w:hint="eastAsia" w:ascii="宋体" w:hAnsi="宋体" w:eastAsia="宋体" w:cs="宋体"/>
                <w:b/>
                <w:color w:val="auto"/>
                <w:sz w:val="24"/>
                <w:szCs w:val="24"/>
              </w:rPr>
            </w:pPr>
            <w:r>
              <w:rPr>
                <w:rFonts w:hint="eastAsia" w:ascii="宋体" w:hAnsi="宋体" w:eastAsia="宋体" w:cs="宋体"/>
                <w:color w:val="auto"/>
                <w:sz w:val="24"/>
                <w:szCs w:val="24"/>
              </w:rPr>
              <w:t>合计（大写）</w:t>
            </w:r>
          </w:p>
        </w:tc>
        <w:tc>
          <w:tcPr>
            <w:tcW w:w="4111" w:type="dxa"/>
            <w:gridSpan w:val="4"/>
            <w:noWrap w:val="0"/>
            <w:vAlign w:val="center"/>
          </w:tcPr>
          <w:p w14:paraId="30259A74">
            <w:pPr>
              <w:pageBreakBefore w:val="0"/>
              <w:kinsoku/>
              <w:wordWrap/>
              <w:topLinePunct w:val="0"/>
              <w:bidi w:val="0"/>
              <w:spacing w:line="520" w:lineRule="exact"/>
              <w:rPr>
                <w:rFonts w:hint="eastAsia" w:ascii="宋体" w:hAnsi="宋体" w:eastAsia="宋体" w:cs="宋体"/>
                <w:b/>
                <w:color w:val="auto"/>
                <w:sz w:val="24"/>
                <w:szCs w:val="24"/>
              </w:rPr>
            </w:pPr>
          </w:p>
        </w:tc>
        <w:tc>
          <w:tcPr>
            <w:tcW w:w="2977" w:type="dxa"/>
            <w:gridSpan w:val="2"/>
            <w:noWrap w:val="0"/>
            <w:vAlign w:val="center"/>
          </w:tcPr>
          <w:p w14:paraId="2DE39C53">
            <w:pPr>
              <w:pageBreakBefore w:val="0"/>
              <w:kinsoku/>
              <w:wordWrap/>
              <w:topLinePunct w:val="0"/>
              <w:bidi w:val="0"/>
              <w:spacing w:line="520" w:lineRule="exact"/>
              <w:rPr>
                <w:rFonts w:hint="eastAsia" w:ascii="宋体" w:hAnsi="宋体" w:eastAsia="宋体" w:cs="宋体"/>
                <w:b/>
                <w:color w:val="auto"/>
                <w:sz w:val="24"/>
                <w:szCs w:val="24"/>
              </w:rPr>
            </w:pPr>
            <w:r>
              <w:rPr>
                <w:rFonts w:hint="eastAsia" w:ascii="宋体" w:hAnsi="宋体" w:eastAsia="宋体" w:cs="宋体"/>
                <w:color w:val="auto"/>
                <w:sz w:val="24"/>
                <w:szCs w:val="24"/>
              </w:rPr>
              <w:t>￥</w:t>
            </w:r>
          </w:p>
        </w:tc>
      </w:tr>
    </w:tbl>
    <w:p w14:paraId="50E1F7D8">
      <w:pPr>
        <w:pageBreakBefore w:val="0"/>
        <w:tabs>
          <w:tab w:val="left" w:pos="735"/>
        </w:tabs>
        <w:kinsoku/>
        <w:wordWrap/>
        <w:topLinePunct w:val="0"/>
        <w:autoSpaceDE w:val="0"/>
        <w:autoSpaceDN w:val="0"/>
        <w:bidi w:val="0"/>
        <w:adjustRightInd w:val="0"/>
        <w:snapToGrid w:val="0"/>
        <w:spacing w:line="520" w:lineRule="exact"/>
        <w:ind w:firstLine="482" w:firstLineChars="200"/>
        <w:outlineLvl w:val="0"/>
        <w:rPr>
          <w:rFonts w:hint="eastAsia" w:ascii="宋体" w:hAnsi="宋体" w:eastAsia="宋体" w:cs="宋体"/>
          <w:b/>
          <w:color w:val="auto"/>
          <w:sz w:val="24"/>
          <w:szCs w:val="24"/>
        </w:rPr>
      </w:pPr>
      <w:bookmarkStart w:id="2" w:name="_Toc497206184"/>
      <w:bookmarkStart w:id="3" w:name="_Toc497206294"/>
      <w:r>
        <w:rPr>
          <w:rFonts w:hint="eastAsia" w:ascii="宋体" w:hAnsi="宋体" w:eastAsia="宋体" w:cs="宋体"/>
          <w:b/>
          <w:color w:val="auto"/>
          <w:sz w:val="24"/>
          <w:szCs w:val="24"/>
        </w:rPr>
        <w:t>二、合同价款：</w:t>
      </w:r>
      <w:bookmarkEnd w:id="2"/>
      <w:bookmarkEnd w:id="3"/>
    </w:p>
    <w:p w14:paraId="4D07E7B7">
      <w:pPr>
        <w:pageBreakBefore w:val="0"/>
        <w:tabs>
          <w:tab w:val="left" w:pos="735"/>
        </w:tabs>
        <w:kinsoku/>
        <w:wordWrap/>
        <w:topLinePunct w:val="0"/>
        <w:autoSpaceDE w:val="0"/>
        <w:autoSpaceDN w:val="0"/>
        <w:bidi w:val="0"/>
        <w:adjustRightInd w:val="0"/>
        <w:snapToGrid w:val="0"/>
        <w:spacing w:line="520" w:lineRule="exact"/>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sz w:val="24"/>
          <w:szCs w:val="24"/>
        </w:rPr>
        <w:t>1、合同总价：</w:t>
      </w:r>
    </w:p>
    <w:p w14:paraId="28D72FFE">
      <w:pPr>
        <w:pageBreakBefore w:val="0"/>
        <w:kinsoku/>
        <w:wordWrap/>
        <w:topLinePunct w:val="0"/>
        <w:bidi w:val="0"/>
        <w:spacing w:line="520" w:lineRule="exact"/>
        <w:ind w:firstLine="480" w:firstLineChars="200"/>
        <w:rPr>
          <w:rFonts w:hint="eastAsia" w:ascii="宋体" w:hAnsi="宋体" w:eastAsia="宋体" w:cs="宋体"/>
          <w:color w:val="C00000"/>
          <w:sz w:val="24"/>
          <w:szCs w:val="24"/>
          <w:lang w:val="zh-CN"/>
        </w:rPr>
      </w:pPr>
      <w:r>
        <w:rPr>
          <w:rFonts w:hint="eastAsia" w:ascii="宋体" w:hAnsi="宋体" w:eastAsia="宋体" w:cs="宋体"/>
          <w:color w:val="auto"/>
          <w:sz w:val="24"/>
          <w:szCs w:val="24"/>
        </w:rPr>
        <w:t>2、合同总价包括：货物总价、货物运达指定地点的运杂费（含运输费、保险费）、</w:t>
      </w:r>
      <w:r>
        <w:rPr>
          <w:rFonts w:hint="eastAsia" w:ascii="宋体" w:hAnsi="宋体" w:eastAsia="宋体" w:cs="宋体"/>
          <w:color w:val="auto"/>
          <w:sz w:val="24"/>
          <w:szCs w:val="24"/>
          <w:lang w:val="en-US" w:eastAsia="zh-CN"/>
        </w:rPr>
        <w:t>装卸费</w:t>
      </w:r>
      <w:r>
        <w:rPr>
          <w:rFonts w:hint="eastAsia" w:ascii="宋体" w:hAnsi="宋体" w:eastAsia="宋体" w:cs="宋体"/>
          <w:color w:val="auto"/>
          <w:sz w:val="24"/>
          <w:szCs w:val="24"/>
        </w:rPr>
        <w:t>、其他（含培训费、向税务部门交纳的各项税费等）等至交付采购人使用的一切费用。</w:t>
      </w:r>
    </w:p>
    <w:p w14:paraId="77F0E012">
      <w:pPr>
        <w:pageBreakBefore w:val="0"/>
        <w:kinsoku/>
        <w:wordWrap/>
        <w:topLinePunct w:val="0"/>
        <w:bidi w:val="0"/>
        <w:spacing w:line="520" w:lineRule="exact"/>
        <w:ind w:firstLine="547" w:firstLineChars="228"/>
        <w:rPr>
          <w:rFonts w:hint="eastAsia" w:ascii="宋体" w:hAnsi="宋体" w:eastAsia="宋体" w:cs="宋体"/>
          <w:color w:val="auto"/>
          <w:sz w:val="24"/>
          <w:szCs w:val="24"/>
        </w:rPr>
      </w:pPr>
      <w:r>
        <w:rPr>
          <w:rFonts w:hint="eastAsia" w:ascii="宋体" w:hAnsi="宋体" w:eastAsia="宋体" w:cs="宋体"/>
          <w:color w:val="auto"/>
          <w:sz w:val="24"/>
          <w:szCs w:val="24"/>
        </w:rPr>
        <w:t>3、本合同总价还包含乙方应当提供的伴随服务和售后服务费用。</w:t>
      </w:r>
    </w:p>
    <w:p w14:paraId="062EF95C">
      <w:pPr>
        <w:pageBreakBefore w:val="0"/>
        <w:tabs>
          <w:tab w:val="left" w:pos="735"/>
        </w:tabs>
        <w:kinsoku/>
        <w:wordWrap/>
        <w:topLinePunct w:val="0"/>
        <w:bidi w:val="0"/>
        <w:adjustRightInd w:val="0"/>
        <w:snapToGrid w:val="0"/>
        <w:spacing w:line="520" w:lineRule="exact"/>
        <w:ind w:firstLine="504" w:firstLineChars="210"/>
        <w:rPr>
          <w:rFonts w:hint="eastAsia" w:ascii="宋体" w:hAnsi="宋体" w:eastAsia="宋体" w:cs="宋体"/>
          <w:color w:val="auto"/>
          <w:sz w:val="24"/>
          <w:szCs w:val="24"/>
        </w:rPr>
      </w:pPr>
      <w:r>
        <w:rPr>
          <w:rFonts w:hint="eastAsia" w:ascii="宋体" w:hAnsi="宋体" w:eastAsia="宋体" w:cs="宋体"/>
          <w:color w:val="auto"/>
          <w:sz w:val="24"/>
          <w:szCs w:val="24"/>
        </w:rPr>
        <w:t>4、本合同执行期间合同总价不变，甲方无须另向乙方支付本合同约定合同总价之外的其他任何费用。</w:t>
      </w:r>
    </w:p>
    <w:p w14:paraId="2166354B">
      <w:pPr>
        <w:pageBreakBefore w:val="0"/>
        <w:tabs>
          <w:tab w:val="left" w:pos="735"/>
        </w:tabs>
        <w:kinsoku/>
        <w:wordWrap/>
        <w:topLinePunct w:val="0"/>
        <w:bidi w:val="0"/>
        <w:adjustRightInd w:val="0"/>
        <w:snapToGrid w:val="0"/>
        <w:spacing w:line="520" w:lineRule="exact"/>
        <w:ind w:firstLine="506" w:firstLineChars="210"/>
        <w:rPr>
          <w:rFonts w:hint="eastAsia" w:ascii="宋体" w:hAnsi="宋体" w:eastAsia="宋体" w:cs="宋体"/>
          <w:b/>
          <w:color w:val="auto"/>
          <w:sz w:val="24"/>
          <w:szCs w:val="24"/>
        </w:rPr>
      </w:pPr>
      <w:r>
        <w:rPr>
          <w:rFonts w:hint="eastAsia" w:ascii="宋体" w:hAnsi="宋体" w:eastAsia="宋体" w:cs="宋体"/>
          <w:b/>
          <w:color w:val="auto"/>
          <w:sz w:val="24"/>
          <w:szCs w:val="24"/>
        </w:rPr>
        <w:t>三、款项结算</w:t>
      </w:r>
    </w:p>
    <w:p w14:paraId="26D08143">
      <w:pPr>
        <w:pageBreakBefore w:val="0"/>
        <w:kinsoku/>
        <w:wordWrap/>
        <w:topLinePunct w:val="0"/>
        <w:autoSpaceDE w:val="0"/>
        <w:autoSpaceDN w:val="0"/>
        <w:bidi w:val="0"/>
        <w:adjustRightInd w:val="0"/>
        <w:spacing w:line="520" w:lineRule="exact"/>
        <w:ind w:firstLine="600" w:firstLineChars="25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highlight w:val="none"/>
        </w:rPr>
        <w:t>付款方式：</w:t>
      </w:r>
      <w:r>
        <w:rPr>
          <w:rFonts w:hint="eastAsia" w:ascii="宋体" w:hAnsi="宋体" w:eastAsia="宋体" w:cs="宋体"/>
          <w:color w:val="auto"/>
          <w:sz w:val="24"/>
          <w:szCs w:val="24"/>
          <w:highlight w:val="none"/>
          <w:lang w:val="en-US" w:eastAsia="zh-CN"/>
        </w:rPr>
        <w:t>验收合格后不计息一次付清；</w:t>
      </w:r>
    </w:p>
    <w:p w14:paraId="1A3F9FE6">
      <w:pPr>
        <w:pageBreakBefore w:val="0"/>
        <w:kinsoku/>
        <w:wordWrap/>
        <w:topLinePunct w:val="0"/>
        <w:autoSpaceDE w:val="0"/>
        <w:autoSpaceDN w:val="0"/>
        <w:bidi w:val="0"/>
        <w:adjustRightInd w:val="0"/>
        <w:spacing w:line="520" w:lineRule="exact"/>
        <w:ind w:firstLine="480" w:firstLineChars="200"/>
        <w:outlineLvl w:val="0"/>
        <w:rPr>
          <w:rFonts w:hint="eastAsia" w:ascii="宋体" w:hAnsi="宋体" w:eastAsia="宋体" w:cs="宋体"/>
          <w:color w:val="auto"/>
          <w:sz w:val="24"/>
          <w:szCs w:val="24"/>
        </w:rPr>
      </w:pPr>
      <w:bookmarkStart w:id="4" w:name="_Toc497206185"/>
      <w:bookmarkStart w:id="5" w:name="_Toc497206295"/>
      <w:r>
        <w:rPr>
          <w:rFonts w:hint="eastAsia" w:ascii="宋体" w:hAnsi="宋体" w:eastAsia="宋体" w:cs="宋体"/>
          <w:color w:val="auto"/>
          <w:sz w:val="24"/>
          <w:szCs w:val="24"/>
        </w:rPr>
        <w:t>2、结算方式：采购人与成交供应商直接结算，发票直开采购人</w:t>
      </w:r>
      <w:bookmarkEnd w:id="4"/>
      <w:bookmarkEnd w:id="5"/>
    </w:p>
    <w:p w14:paraId="0D76D771">
      <w:pPr>
        <w:pageBreakBefore w:val="0"/>
        <w:kinsoku/>
        <w:wordWrap/>
        <w:topLinePunct w:val="0"/>
        <w:autoSpaceDE w:val="0"/>
        <w:autoSpaceDN w:val="0"/>
        <w:bidi w:val="0"/>
        <w:adjustRightInd w:val="0"/>
        <w:spacing w:line="520" w:lineRule="exact"/>
        <w:ind w:firstLine="480" w:firstLineChars="200"/>
        <w:outlineLvl w:val="0"/>
        <w:rPr>
          <w:rFonts w:hint="eastAsia" w:ascii="宋体" w:hAnsi="宋体" w:eastAsia="宋体" w:cs="宋体"/>
          <w:color w:val="auto"/>
          <w:sz w:val="24"/>
          <w:szCs w:val="24"/>
        </w:rPr>
      </w:pPr>
      <w:bookmarkStart w:id="6" w:name="_Toc497206186"/>
      <w:bookmarkStart w:id="7" w:name="_Toc497206296"/>
      <w:r>
        <w:rPr>
          <w:rFonts w:hint="eastAsia" w:ascii="宋体" w:hAnsi="宋体" w:eastAsia="宋体" w:cs="宋体"/>
          <w:color w:val="auto"/>
          <w:sz w:val="24"/>
          <w:szCs w:val="24"/>
        </w:rPr>
        <w:t>3、支付方式：银行转账</w:t>
      </w:r>
      <w:bookmarkEnd w:id="6"/>
      <w:bookmarkEnd w:id="7"/>
    </w:p>
    <w:p w14:paraId="6CFC0595">
      <w:pPr>
        <w:pageBreakBefore w:val="0"/>
        <w:kinsoku/>
        <w:wordWrap/>
        <w:topLinePunct w:val="0"/>
        <w:autoSpaceDE w:val="0"/>
        <w:autoSpaceDN w:val="0"/>
        <w:bidi w:val="0"/>
        <w:adjustRightInd w:val="0"/>
        <w:spacing w:line="520" w:lineRule="exact"/>
        <w:ind w:firstLine="482" w:firstLineChars="200"/>
        <w:outlineLvl w:val="0"/>
        <w:rPr>
          <w:rFonts w:hint="eastAsia" w:ascii="宋体" w:hAnsi="宋体" w:eastAsia="宋体" w:cs="宋体"/>
          <w:b/>
          <w:bCs/>
          <w:color w:val="auto"/>
          <w:sz w:val="24"/>
          <w:szCs w:val="24"/>
          <w:lang w:val="zh-CN"/>
        </w:rPr>
      </w:pPr>
      <w:bookmarkStart w:id="8" w:name="_Toc497206187"/>
      <w:bookmarkStart w:id="9" w:name="_Toc497206297"/>
      <w:r>
        <w:rPr>
          <w:rFonts w:hint="eastAsia" w:ascii="宋体" w:hAnsi="宋体" w:eastAsia="宋体" w:cs="宋体"/>
          <w:b/>
          <w:bCs/>
          <w:color w:val="auto"/>
          <w:sz w:val="24"/>
          <w:szCs w:val="24"/>
          <w:lang w:val="zh-CN"/>
        </w:rPr>
        <w:t>四、交货条件:</w:t>
      </w:r>
      <w:bookmarkEnd w:id="8"/>
      <w:bookmarkEnd w:id="9"/>
    </w:p>
    <w:p w14:paraId="3F7D9902">
      <w:pPr>
        <w:pageBreakBefore w:val="0"/>
        <w:tabs>
          <w:tab w:val="left" w:pos="735"/>
        </w:tabs>
        <w:kinsoku/>
        <w:wordWrap/>
        <w:topLinePunct w:val="0"/>
        <w:autoSpaceDE w:val="0"/>
        <w:autoSpaceDN w:val="0"/>
        <w:bidi w:val="0"/>
        <w:adjustRightInd w:val="0"/>
        <w:snapToGrid w:val="0"/>
        <w:spacing w:line="520" w:lineRule="exact"/>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1、交货地点：</w:t>
      </w:r>
    </w:p>
    <w:p w14:paraId="1484590B">
      <w:pPr>
        <w:pageBreakBefore w:val="0"/>
        <w:tabs>
          <w:tab w:val="left" w:pos="735"/>
        </w:tabs>
        <w:kinsoku/>
        <w:wordWrap/>
        <w:topLinePunct w:val="0"/>
        <w:autoSpaceDE w:val="0"/>
        <w:autoSpaceDN w:val="0"/>
        <w:bidi w:val="0"/>
        <w:adjustRightInd w:val="0"/>
        <w:snapToGrid w:val="0"/>
        <w:spacing w:line="520" w:lineRule="exact"/>
        <w:ind w:firstLine="480" w:firstLineChars="200"/>
        <w:rPr>
          <w:rFonts w:hint="default" w:ascii="宋体" w:hAnsi="宋体" w:eastAsia="宋体" w:cs="宋体"/>
          <w:color w:val="auto"/>
          <w:sz w:val="24"/>
          <w:szCs w:val="24"/>
          <w:u w:val="single"/>
          <w:lang w:val="en-US"/>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交货期</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p>
    <w:p w14:paraId="0EA78CA8">
      <w:pPr>
        <w:pageBreakBefore w:val="0"/>
        <w:kinsoku/>
        <w:wordWrap/>
        <w:topLinePunct w:val="0"/>
        <w:autoSpaceDE w:val="0"/>
        <w:autoSpaceDN w:val="0"/>
        <w:bidi w:val="0"/>
        <w:adjustRightInd w:val="0"/>
        <w:spacing w:line="520" w:lineRule="exact"/>
        <w:ind w:firstLine="482" w:firstLineChars="200"/>
        <w:outlineLvl w:val="0"/>
        <w:rPr>
          <w:rFonts w:hint="eastAsia" w:ascii="宋体" w:hAnsi="宋体" w:eastAsia="宋体" w:cs="宋体"/>
          <w:b/>
          <w:bCs/>
          <w:color w:val="auto"/>
          <w:sz w:val="24"/>
          <w:szCs w:val="24"/>
          <w:lang w:val="zh-CN"/>
        </w:rPr>
      </w:pPr>
      <w:bookmarkStart w:id="10" w:name="_Toc497206188"/>
      <w:bookmarkStart w:id="11" w:name="_Toc497206298"/>
      <w:r>
        <w:rPr>
          <w:rFonts w:hint="eastAsia" w:ascii="宋体" w:hAnsi="宋体" w:eastAsia="宋体" w:cs="宋体"/>
          <w:b/>
          <w:bCs/>
          <w:color w:val="auto"/>
          <w:sz w:val="24"/>
          <w:szCs w:val="24"/>
          <w:lang w:val="zh-CN"/>
        </w:rPr>
        <w:t>五、运输</w:t>
      </w:r>
      <w:bookmarkEnd w:id="10"/>
      <w:bookmarkEnd w:id="11"/>
    </w:p>
    <w:p w14:paraId="5D61C286">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1、乙方负责所有货物的运输。确保货物安全、完整到达使用地点，运杂费用包含在总价内，包括货物从供货地点到使用地点的运输费、保险费、搬运费、</w:t>
      </w:r>
      <w:r>
        <w:rPr>
          <w:rFonts w:hint="eastAsia" w:ascii="宋体" w:hAnsi="宋体" w:eastAsia="宋体" w:cs="宋体"/>
          <w:color w:val="auto"/>
          <w:sz w:val="24"/>
          <w:szCs w:val="24"/>
          <w:lang w:val="en-US" w:eastAsia="zh-CN"/>
        </w:rPr>
        <w:t>装卸费</w:t>
      </w:r>
      <w:r>
        <w:rPr>
          <w:rFonts w:hint="eastAsia" w:ascii="宋体" w:hAnsi="宋体" w:eastAsia="宋体" w:cs="宋体"/>
          <w:color w:val="auto"/>
          <w:sz w:val="24"/>
          <w:szCs w:val="24"/>
        </w:rPr>
        <w:t>等。</w:t>
      </w:r>
    </w:p>
    <w:p w14:paraId="2879AA38">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2、所有货物在运输、搬运、</w:t>
      </w:r>
      <w:r>
        <w:rPr>
          <w:rFonts w:hint="eastAsia" w:ascii="宋体" w:hAnsi="宋体" w:eastAsia="宋体" w:cs="宋体"/>
          <w:color w:val="auto"/>
          <w:sz w:val="24"/>
          <w:szCs w:val="24"/>
          <w:lang w:val="en-US" w:eastAsia="zh-CN"/>
        </w:rPr>
        <w:t>装卸</w:t>
      </w:r>
      <w:r>
        <w:rPr>
          <w:rFonts w:hint="eastAsia" w:ascii="宋体" w:hAnsi="宋体" w:eastAsia="宋体" w:cs="宋体"/>
          <w:color w:val="auto"/>
          <w:sz w:val="24"/>
          <w:szCs w:val="24"/>
        </w:rPr>
        <w:t>的过程中，造成甲方损失的，由乙方为甲方修复或更新。</w:t>
      </w:r>
    </w:p>
    <w:p w14:paraId="6DC2C4AF">
      <w:pPr>
        <w:pageBreakBefore w:val="0"/>
        <w:kinsoku/>
        <w:wordWrap/>
        <w:topLinePunct w:val="0"/>
        <w:autoSpaceDE w:val="0"/>
        <w:autoSpaceDN w:val="0"/>
        <w:bidi w:val="0"/>
        <w:adjustRightInd w:val="0"/>
        <w:spacing w:line="520" w:lineRule="exact"/>
        <w:ind w:firstLine="482" w:firstLineChars="200"/>
        <w:outlineLvl w:val="0"/>
        <w:rPr>
          <w:rFonts w:hint="eastAsia" w:ascii="宋体" w:hAnsi="宋体" w:eastAsia="宋体" w:cs="宋体"/>
          <w:bCs/>
          <w:color w:val="auto"/>
          <w:sz w:val="24"/>
          <w:szCs w:val="24"/>
          <w:lang w:val="zh-CN"/>
        </w:rPr>
      </w:pPr>
      <w:bookmarkStart w:id="12" w:name="_Toc497206189"/>
      <w:bookmarkStart w:id="13" w:name="_Toc497206299"/>
      <w:r>
        <w:rPr>
          <w:rFonts w:hint="eastAsia" w:ascii="宋体" w:hAnsi="宋体" w:eastAsia="宋体" w:cs="宋体"/>
          <w:b/>
          <w:bCs/>
          <w:color w:val="auto"/>
          <w:sz w:val="24"/>
          <w:szCs w:val="24"/>
          <w:lang w:val="zh-CN"/>
        </w:rPr>
        <w:t>六、质量保证</w:t>
      </w:r>
      <w:bookmarkEnd w:id="12"/>
      <w:bookmarkEnd w:id="13"/>
    </w:p>
    <w:p w14:paraId="551FFEE3">
      <w:pPr>
        <w:pageBreakBefore w:val="0"/>
        <w:kinsoku/>
        <w:wordWrap/>
        <w:topLinePunct w:val="0"/>
        <w:autoSpaceDE w:val="0"/>
        <w:autoSpaceDN w:val="0"/>
        <w:bidi w:val="0"/>
        <w:adjustRightInd w:val="0"/>
        <w:spacing w:line="520" w:lineRule="exact"/>
        <w:ind w:firstLine="480" w:firstLineChars="200"/>
        <w:outlineLvl w:val="0"/>
        <w:rPr>
          <w:rFonts w:hint="eastAsia" w:ascii="宋体" w:hAnsi="宋体" w:eastAsia="宋体" w:cs="宋体"/>
          <w:bCs/>
          <w:color w:val="auto"/>
          <w:sz w:val="24"/>
          <w:szCs w:val="24"/>
          <w:lang w:val="zh-CN"/>
        </w:rPr>
      </w:pPr>
      <w:bookmarkStart w:id="14" w:name="_Toc497206191"/>
      <w:bookmarkStart w:id="15" w:name="_Toc497206301"/>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lang w:val="zh-CN"/>
        </w:rPr>
        <w:t>、所提供货物必须是经过办理正常手续的全新产品。</w:t>
      </w:r>
      <w:bookmarkEnd w:id="14"/>
      <w:bookmarkEnd w:id="15"/>
    </w:p>
    <w:p w14:paraId="692FDA65">
      <w:pPr>
        <w:pageBreakBefore w:val="0"/>
        <w:kinsoku/>
        <w:wordWrap/>
        <w:topLinePunct w:val="0"/>
        <w:autoSpaceDE w:val="0"/>
        <w:autoSpaceDN w:val="0"/>
        <w:bidi w:val="0"/>
        <w:adjustRightInd w:val="0"/>
        <w:spacing w:line="520" w:lineRule="exact"/>
        <w:ind w:firstLine="480" w:firstLineChars="200"/>
        <w:outlineLvl w:val="0"/>
        <w:rPr>
          <w:rFonts w:hint="eastAsia" w:ascii="宋体" w:hAnsi="宋体" w:eastAsia="宋体" w:cs="宋体"/>
          <w:bCs/>
          <w:color w:val="auto"/>
          <w:sz w:val="24"/>
          <w:szCs w:val="24"/>
          <w:lang w:val="zh-CN"/>
        </w:rPr>
      </w:pPr>
      <w:bookmarkStart w:id="16" w:name="_Toc497206192"/>
      <w:bookmarkStart w:id="17" w:name="_Toc497206302"/>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lang w:val="zh-CN"/>
        </w:rPr>
        <w:t>、所供货物是经过国家法定检验、注册、准许市场销售的合法产品。</w:t>
      </w:r>
      <w:bookmarkEnd w:id="16"/>
      <w:bookmarkEnd w:id="17"/>
    </w:p>
    <w:p w14:paraId="2EBC4F50">
      <w:pPr>
        <w:pageBreakBefore w:val="0"/>
        <w:kinsoku/>
        <w:wordWrap/>
        <w:topLinePunct w:val="0"/>
        <w:autoSpaceDE w:val="0"/>
        <w:autoSpaceDN w:val="0"/>
        <w:bidi w:val="0"/>
        <w:adjustRightInd w:val="0"/>
        <w:spacing w:line="520" w:lineRule="exact"/>
        <w:ind w:firstLine="480" w:firstLineChars="200"/>
        <w:outlineLvl w:val="0"/>
        <w:rPr>
          <w:rFonts w:hint="eastAsia" w:ascii="宋体" w:hAnsi="宋体" w:eastAsia="宋体" w:cs="宋体"/>
          <w:bCs/>
          <w:color w:val="auto"/>
          <w:sz w:val="24"/>
          <w:szCs w:val="24"/>
          <w:lang w:val="zh-CN"/>
        </w:rPr>
      </w:pPr>
      <w:bookmarkStart w:id="18" w:name="_Toc497206303"/>
      <w:bookmarkStart w:id="19" w:name="_Toc497206193"/>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lang w:val="zh-CN"/>
        </w:rPr>
        <w:t>、货物性能稳定、具有较好的使用效果，质量保证措施完善，符合国家相应标准。</w:t>
      </w:r>
      <w:bookmarkEnd w:id="18"/>
      <w:bookmarkEnd w:id="19"/>
    </w:p>
    <w:p w14:paraId="233C9B78">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、除合同另有规定外，乙方提供的全部货物，均应确保安全无损运抵甲方指定地点。</w:t>
      </w:r>
    </w:p>
    <w:p w14:paraId="130D0BB1">
      <w:pPr>
        <w:pageBreakBefore w:val="0"/>
        <w:kinsoku/>
        <w:wordWrap/>
        <w:topLinePunct w:val="0"/>
        <w:bidi w:val="0"/>
        <w:spacing w:line="520" w:lineRule="exact"/>
        <w:ind w:firstLine="645"/>
        <w:rPr>
          <w:rFonts w:hint="eastAsia" w:ascii="宋体" w:hAnsi="宋体" w:eastAsia="宋体" w:cs="宋体"/>
          <w:b/>
          <w:color w:val="auto"/>
          <w:sz w:val="24"/>
          <w:szCs w:val="24"/>
        </w:rPr>
      </w:pPr>
      <w:r>
        <w:rPr>
          <w:rFonts w:hint="eastAsia" w:ascii="宋体" w:hAnsi="宋体" w:eastAsia="宋体" w:cs="宋体"/>
          <w:b/>
          <w:color w:val="auto"/>
          <w:sz w:val="24"/>
          <w:szCs w:val="24"/>
        </w:rPr>
        <w:t>七、技术服务</w:t>
      </w:r>
    </w:p>
    <w:p w14:paraId="5EA99BA4">
      <w:pPr>
        <w:pageBreakBefore w:val="0"/>
        <w:kinsoku/>
        <w:wordWrap/>
        <w:topLinePunct w:val="0"/>
        <w:bidi w:val="0"/>
        <w:spacing w:line="520" w:lineRule="exact"/>
        <w:ind w:firstLine="616" w:firstLineChars="257"/>
        <w:rPr>
          <w:rFonts w:hint="eastAsia" w:ascii="宋体" w:hAnsi="宋体" w:eastAsia="宋体" w:cs="宋体"/>
          <w:color w:val="auto"/>
          <w:sz w:val="24"/>
          <w:szCs w:val="24"/>
        </w:rPr>
      </w:pPr>
      <w:r>
        <w:rPr>
          <w:rFonts w:hint="eastAsia" w:ascii="宋体" w:hAnsi="宋体" w:eastAsia="宋体" w:cs="宋体"/>
          <w:color w:val="auto"/>
          <w:sz w:val="24"/>
          <w:szCs w:val="24"/>
        </w:rPr>
        <w:t>1、服务承诺：响应文件中有明确且具体、切实可行的技术服务承诺。</w:t>
      </w:r>
    </w:p>
    <w:p w14:paraId="51872161">
      <w:pPr>
        <w:pageBreakBefore w:val="0"/>
        <w:kinsoku/>
        <w:wordWrap/>
        <w:topLinePunct w:val="0"/>
        <w:bidi w:val="0"/>
        <w:spacing w:line="520" w:lineRule="exact"/>
        <w:ind w:firstLine="616" w:firstLineChars="257"/>
        <w:rPr>
          <w:rFonts w:hint="eastAsia" w:ascii="宋体" w:hAnsi="宋体" w:eastAsia="宋体" w:cs="宋体"/>
          <w:color w:val="auto"/>
          <w:sz w:val="24"/>
          <w:szCs w:val="24"/>
        </w:rPr>
      </w:pPr>
      <w:r>
        <w:rPr>
          <w:rFonts w:hint="eastAsia" w:ascii="宋体" w:hAnsi="宋体" w:eastAsia="宋体" w:cs="宋体"/>
          <w:color w:val="auto"/>
          <w:sz w:val="24"/>
          <w:szCs w:val="24"/>
        </w:rPr>
        <w:t>售后服务体系：</w:t>
      </w:r>
    </w:p>
    <w:p w14:paraId="62DDDAED">
      <w:pPr>
        <w:pageBreakBefore w:val="0"/>
        <w:kinsoku/>
        <w:wordWrap/>
        <w:topLinePunct w:val="0"/>
        <w:bidi w:val="0"/>
        <w:spacing w:line="520" w:lineRule="exact"/>
        <w:ind w:firstLine="616" w:firstLineChars="257"/>
        <w:rPr>
          <w:rFonts w:hint="eastAsia" w:ascii="宋体" w:hAnsi="宋体" w:eastAsia="宋体" w:cs="宋体"/>
          <w:color w:val="auto"/>
          <w:sz w:val="24"/>
          <w:szCs w:val="24"/>
        </w:rPr>
      </w:pPr>
      <w:r>
        <w:rPr>
          <w:rFonts w:hint="eastAsia" w:ascii="宋体" w:hAnsi="宋体" w:eastAsia="宋体" w:cs="宋体"/>
          <w:color w:val="auto"/>
          <w:sz w:val="24"/>
          <w:szCs w:val="24"/>
        </w:rPr>
        <w:t>1-1、提供本地区主要负责人的姓名、联系电话、营业场所详细地址。</w:t>
      </w:r>
    </w:p>
    <w:p w14:paraId="5C45CF1A">
      <w:pPr>
        <w:pageBreakBefore w:val="0"/>
        <w:kinsoku/>
        <w:wordWrap/>
        <w:topLinePunct w:val="0"/>
        <w:bidi w:val="0"/>
        <w:spacing w:line="520" w:lineRule="exact"/>
        <w:ind w:firstLine="616" w:firstLineChars="257"/>
        <w:rPr>
          <w:rFonts w:hint="eastAsia" w:ascii="宋体" w:hAnsi="宋体" w:eastAsia="宋体" w:cs="宋体"/>
          <w:color w:val="auto"/>
          <w:sz w:val="24"/>
          <w:szCs w:val="24"/>
        </w:rPr>
      </w:pPr>
      <w:r>
        <w:rPr>
          <w:rFonts w:hint="eastAsia" w:ascii="宋体" w:hAnsi="宋体" w:eastAsia="宋体" w:cs="宋体"/>
          <w:color w:val="auto"/>
          <w:sz w:val="24"/>
          <w:szCs w:val="24"/>
        </w:rPr>
        <w:t>1-2、提供具体负责本用户的售后服务人员姓名、联系电话、联系地址。</w:t>
      </w:r>
    </w:p>
    <w:p w14:paraId="1E130F6D">
      <w:pPr>
        <w:pageBreakBefore w:val="0"/>
        <w:kinsoku/>
        <w:wordWrap/>
        <w:topLinePunct w:val="0"/>
        <w:bidi w:val="0"/>
        <w:spacing w:line="520" w:lineRule="exact"/>
        <w:ind w:firstLine="616" w:firstLineChars="257"/>
        <w:rPr>
          <w:rFonts w:hint="eastAsia" w:ascii="宋体" w:hAnsi="宋体" w:eastAsia="宋体" w:cs="宋体"/>
          <w:color w:val="auto"/>
          <w:sz w:val="24"/>
          <w:szCs w:val="24"/>
        </w:rPr>
      </w:pPr>
      <w:r>
        <w:rPr>
          <w:rFonts w:hint="eastAsia" w:ascii="宋体" w:hAnsi="宋体" w:eastAsia="宋体" w:cs="宋体"/>
          <w:color w:val="auto"/>
          <w:sz w:val="24"/>
          <w:szCs w:val="24"/>
        </w:rPr>
        <w:t>2、售后服务承诺：</w:t>
      </w:r>
    </w:p>
    <w:p w14:paraId="5157B773">
      <w:pPr>
        <w:pageBreakBefore w:val="0"/>
        <w:kinsoku/>
        <w:wordWrap/>
        <w:topLinePunct w:val="0"/>
        <w:bidi w:val="0"/>
        <w:spacing w:line="520" w:lineRule="exact"/>
        <w:ind w:firstLine="616" w:firstLineChars="257"/>
        <w:rPr>
          <w:rFonts w:hint="eastAsia" w:ascii="宋体" w:hAnsi="宋体" w:eastAsia="宋体" w:cs="宋体"/>
          <w:color w:val="auto"/>
          <w:sz w:val="24"/>
          <w:szCs w:val="24"/>
        </w:rPr>
      </w:pPr>
      <w:r>
        <w:rPr>
          <w:rFonts w:hint="eastAsia" w:ascii="宋体" w:hAnsi="宋体" w:eastAsia="宋体" w:cs="宋体"/>
          <w:color w:val="auto"/>
          <w:sz w:val="24"/>
          <w:szCs w:val="24"/>
        </w:rPr>
        <w:t>2-1、</w:t>
      </w:r>
      <w:r>
        <w:rPr>
          <w:rFonts w:hint="eastAsia" w:ascii="宋体" w:hAnsi="宋体" w:eastAsia="宋体" w:cs="宋体"/>
          <w:color w:val="auto"/>
          <w:sz w:val="24"/>
          <w:szCs w:val="24"/>
          <w:lang w:val="en-US" w:eastAsia="zh-CN"/>
        </w:rPr>
        <w:t>出现问题</w:t>
      </w:r>
      <w:r>
        <w:rPr>
          <w:rFonts w:hint="eastAsia" w:ascii="宋体" w:hAnsi="宋体" w:eastAsia="宋体" w:cs="宋体"/>
          <w:color w:val="auto"/>
          <w:sz w:val="24"/>
          <w:szCs w:val="24"/>
        </w:rPr>
        <w:t>后最短和最长的响应时间（以接到报修电话起至维修人员到达现场止所需时间）。</w:t>
      </w:r>
    </w:p>
    <w:p w14:paraId="6C7AF2F2">
      <w:pPr>
        <w:pageBreakBefore w:val="0"/>
        <w:kinsoku/>
        <w:wordWrap/>
        <w:topLinePunct w:val="0"/>
        <w:bidi w:val="0"/>
        <w:spacing w:line="520" w:lineRule="exact"/>
        <w:ind w:firstLine="616" w:firstLineChars="257"/>
        <w:rPr>
          <w:rFonts w:hint="eastAsia" w:ascii="宋体" w:hAnsi="宋体" w:eastAsia="宋体" w:cs="宋体"/>
          <w:color w:val="auto"/>
          <w:sz w:val="24"/>
          <w:szCs w:val="24"/>
        </w:rPr>
      </w:pPr>
      <w:r>
        <w:rPr>
          <w:rFonts w:hint="eastAsia" w:ascii="宋体" w:hAnsi="宋体" w:eastAsia="宋体" w:cs="宋体"/>
          <w:color w:val="auto"/>
          <w:sz w:val="24"/>
          <w:szCs w:val="24"/>
        </w:rPr>
        <w:t>2-2、</w:t>
      </w:r>
      <w:r>
        <w:rPr>
          <w:rFonts w:hint="eastAsia" w:ascii="宋体" w:hAnsi="宋体" w:eastAsia="宋体" w:cs="宋体"/>
          <w:color w:val="auto"/>
          <w:sz w:val="24"/>
          <w:szCs w:val="24"/>
          <w:lang w:val="en-US" w:eastAsia="zh-CN"/>
        </w:rPr>
        <w:t>管理</w:t>
      </w:r>
      <w:r>
        <w:rPr>
          <w:rFonts w:hint="eastAsia" w:ascii="宋体" w:hAnsi="宋体" w:eastAsia="宋体" w:cs="宋体"/>
          <w:color w:val="auto"/>
          <w:sz w:val="24"/>
          <w:szCs w:val="24"/>
        </w:rPr>
        <w:t>期间的承诺。</w:t>
      </w:r>
    </w:p>
    <w:p w14:paraId="53157FB2">
      <w:pPr>
        <w:pageBreakBefore w:val="0"/>
        <w:kinsoku/>
        <w:wordWrap/>
        <w:topLinePunct w:val="0"/>
        <w:bidi w:val="0"/>
        <w:spacing w:line="520" w:lineRule="exact"/>
        <w:ind w:firstLine="616" w:firstLineChars="257"/>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、人员培训：</w:t>
      </w:r>
    </w:p>
    <w:p w14:paraId="1FB3FD97">
      <w:pPr>
        <w:pageBreakBefore w:val="0"/>
        <w:tabs>
          <w:tab w:val="left" w:pos="0"/>
        </w:tabs>
        <w:kinsoku/>
        <w:wordWrap/>
        <w:topLinePunct w:val="0"/>
        <w:autoSpaceDE w:val="0"/>
        <w:autoSpaceDN w:val="0"/>
        <w:bidi w:val="0"/>
        <w:adjustRightInd w:val="0"/>
        <w:spacing w:line="520" w:lineRule="exact"/>
        <w:ind w:firstLine="482" w:firstLineChars="200"/>
        <w:outlineLvl w:val="0"/>
        <w:rPr>
          <w:rFonts w:hint="eastAsia" w:ascii="宋体" w:hAnsi="宋体" w:eastAsia="宋体" w:cs="宋体"/>
          <w:b/>
          <w:bCs/>
          <w:color w:val="auto"/>
          <w:sz w:val="24"/>
          <w:szCs w:val="24"/>
          <w:lang w:val="zh-CN"/>
        </w:rPr>
      </w:pPr>
      <w:bookmarkStart w:id="20" w:name="_Toc497206194"/>
      <w:bookmarkStart w:id="21" w:name="_Toc497206304"/>
      <w:r>
        <w:rPr>
          <w:rFonts w:hint="eastAsia" w:ascii="宋体" w:hAnsi="宋体" w:eastAsia="宋体" w:cs="宋体"/>
          <w:b/>
          <w:bCs/>
          <w:color w:val="auto"/>
          <w:sz w:val="24"/>
          <w:szCs w:val="24"/>
          <w:lang w:val="zh-CN"/>
        </w:rPr>
        <w:t>八、验收</w:t>
      </w:r>
      <w:bookmarkEnd w:id="20"/>
      <w:bookmarkEnd w:id="21"/>
    </w:p>
    <w:p w14:paraId="418C7CBF">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1、到货验收：货物到货后，由甲方与乙方共同进行外观验收，验收内容包括，外观、规格、数量等与合同要求的一致性。</w:t>
      </w:r>
    </w:p>
    <w:p w14:paraId="56786CDE">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、最终验收：最终验收结果作为付款依据，乙方填写验收单，并向甲方提交实施过程中的所有资料，以便甲方日后管理和维护。</w:t>
      </w:r>
    </w:p>
    <w:p w14:paraId="23A27337">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5、验收依据：</w:t>
      </w:r>
    </w:p>
    <w:p w14:paraId="67BC41C2">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5-1、合同文本、合同附件、</w:t>
      </w:r>
      <w:r>
        <w:rPr>
          <w:rFonts w:hint="eastAsia" w:ascii="宋体" w:hAnsi="宋体" w:eastAsia="宋体" w:cs="宋体"/>
          <w:color w:val="auto"/>
          <w:sz w:val="24"/>
          <w:szCs w:val="24"/>
          <w:lang w:val="zh-CN"/>
        </w:rPr>
        <w:t>竞争性</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lang w:val="zh-CN"/>
        </w:rPr>
        <w:t>文件</w:t>
      </w:r>
      <w:r>
        <w:rPr>
          <w:rFonts w:hint="eastAsia" w:ascii="宋体" w:hAnsi="宋体" w:eastAsia="宋体" w:cs="宋体"/>
          <w:color w:val="auto"/>
          <w:sz w:val="24"/>
          <w:szCs w:val="24"/>
        </w:rPr>
        <w:t>、响应文件。</w:t>
      </w:r>
    </w:p>
    <w:p w14:paraId="503C4021">
      <w:pPr>
        <w:pageBreakBefore w:val="0"/>
        <w:kinsoku/>
        <w:wordWrap/>
        <w:topLinePunct w:val="0"/>
        <w:bidi w:val="0"/>
        <w:snapToGrid w:val="0"/>
        <w:spacing w:line="520" w:lineRule="exact"/>
        <w:ind w:right="893"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5-2、国内相应的标准、规范。</w:t>
      </w:r>
    </w:p>
    <w:p w14:paraId="1D093A84">
      <w:pPr>
        <w:pageBreakBefore w:val="0"/>
        <w:kinsoku/>
        <w:wordWrap/>
        <w:topLinePunct w:val="0"/>
        <w:autoSpaceDE w:val="0"/>
        <w:autoSpaceDN w:val="0"/>
        <w:bidi w:val="0"/>
        <w:adjustRightInd w:val="0"/>
        <w:spacing w:line="520" w:lineRule="exact"/>
        <w:ind w:firstLine="482" w:firstLineChars="200"/>
        <w:outlineLvl w:val="0"/>
        <w:rPr>
          <w:rFonts w:hint="eastAsia" w:ascii="宋体" w:hAnsi="宋体" w:eastAsia="宋体" w:cs="宋体"/>
          <w:b/>
          <w:bCs/>
          <w:color w:val="auto"/>
          <w:sz w:val="24"/>
          <w:szCs w:val="24"/>
          <w:lang w:val="zh-CN"/>
        </w:rPr>
      </w:pPr>
      <w:bookmarkStart w:id="22" w:name="_Toc497206305"/>
      <w:bookmarkStart w:id="23" w:name="_Toc497206195"/>
      <w:r>
        <w:rPr>
          <w:rFonts w:hint="eastAsia" w:ascii="宋体" w:hAnsi="宋体" w:eastAsia="宋体" w:cs="宋体"/>
          <w:b/>
          <w:bCs/>
          <w:color w:val="auto"/>
          <w:sz w:val="24"/>
          <w:szCs w:val="24"/>
          <w:lang w:val="zh-CN"/>
        </w:rPr>
        <w:t>九、违约责任</w:t>
      </w:r>
      <w:bookmarkEnd w:id="22"/>
      <w:bookmarkEnd w:id="23"/>
    </w:p>
    <w:p w14:paraId="51E56E2F">
      <w:pPr>
        <w:pageBreakBefore w:val="0"/>
        <w:kinsoku/>
        <w:wordWrap/>
        <w:topLinePunct w:val="0"/>
        <w:bidi w:val="0"/>
        <w:spacing w:line="520" w:lineRule="exact"/>
        <w:ind w:firstLine="480" w:firstLineChars="200"/>
        <w:jc w:val="left"/>
        <w:rPr>
          <w:rFonts w:hint="eastAsia" w:ascii="宋体" w:hAnsi="宋体" w:eastAsia="宋体" w:cs="宋体"/>
          <w:color w:val="auto"/>
          <w:sz w:val="24"/>
          <w:szCs w:val="24"/>
        </w:rPr>
      </w:pPr>
      <w:bookmarkStart w:id="24" w:name="_Toc497206306"/>
      <w:bookmarkStart w:id="25" w:name="_Toc497206196"/>
      <w:r>
        <w:rPr>
          <w:rFonts w:hint="eastAsia" w:ascii="宋体" w:hAnsi="宋体" w:eastAsia="宋体" w:cs="宋体"/>
          <w:color w:val="auto"/>
          <w:sz w:val="24"/>
          <w:szCs w:val="24"/>
        </w:rPr>
        <w:t>1、甲方违约责任</w:t>
      </w:r>
    </w:p>
    <w:p w14:paraId="41790E90">
      <w:pPr>
        <w:pageBreakBefore w:val="0"/>
        <w:kinsoku/>
        <w:wordWrap/>
        <w:topLinePunct w:val="0"/>
        <w:bidi w:val="0"/>
        <w:spacing w:line="520" w:lineRule="exact"/>
        <w:ind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rPr>
        <w:t>（1）甲方无正当理由拒收货物（产品）的，甲方应偿付合同总价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%的违约金；</w:t>
      </w:r>
    </w:p>
    <w:p w14:paraId="4A59AE17">
      <w:pPr>
        <w:pageBreakBefore w:val="0"/>
        <w:kinsoku/>
        <w:wordWrap/>
        <w:topLinePunct w:val="0"/>
        <w:bidi w:val="0"/>
        <w:spacing w:line="520" w:lineRule="exact"/>
        <w:ind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rPr>
        <w:t>（2）甲方逾期支付货款的，除应及时付足货款外，应向乙方每天支付欠款总额‰的滞纳金；但累计滞纳金总额不超过欠款总额的%。（非因甲方原因逾期支付货款的除外）</w:t>
      </w:r>
    </w:p>
    <w:p w14:paraId="04B71187">
      <w:pPr>
        <w:pageBreakBefore w:val="0"/>
        <w:kinsoku/>
        <w:wordWrap/>
        <w:topLinePunct w:val="0"/>
        <w:bidi w:val="0"/>
        <w:spacing w:line="52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2、乙方违约责任</w:t>
      </w:r>
    </w:p>
    <w:p w14:paraId="0D03824C">
      <w:pPr>
        <w:pageBreakBefore w:val="0"/>
        <w:kinsoku/>
        <w:wordWrap/>
        <w:topLinePunct w:val="0"/>
        <w:bidi w:val="0"/>
        <w:spacing w:line="520" w:lineRule="exact"/>
        <w:ind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rPr>
        <w:t>（1）如乙方不能交付货物（产品），甲方有权扣留全部履约保证金；同时乙方应向甲方支付合同总价%的违约金。</w:t>
      </w:r>
    </w:p>
    <w:p w14:paraId="16F31793">
      <w:pPr>
        <w:pageBreakBefore w:val="0"/>
        <w:kinsoku/>
        <w:wordWrap/>
        <w:topLinePunct w:val="0"/>
        <w:bidi w:val="0"/>
        <w:spacing w:line="520" w:lineRule="exact"/>
        <w:ind w:firstLine="360" w:firstLineChars="15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乙方逾期交付符合本合同约定的货物的，每逾期1天，乙方向甲方偿付逾期交货部分货款总额的‰的滞纳金。如乙方逾期交货达天，甲方有权解除合同，解除合同的通知自到达乙方时生效。合同因乙方违约被解除的，乙方应向甲方支付合同总价％的违约金</w:t>
      </w:r>
    </w:p>
    <w:p w14:paraId="0B5010F9">
      <w:pPr>
        <w:pageBreakBefore w:val="0"/>
        <w:kinsoku/>
        <w:wordWrap/>
        <w:topLinePunct w:val="0"/>
        <w:bidi w:val="0"/>
        <w:spacing w:line="520" w:lineRule="exact"/>
        <w:ind w:firstLine="360" w:firstLineChars="15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（3）乙方所交付的货物（产品）品种、重量、规格、技术参数等不符合合同约定的，甲方有权拒收。甲方拒收的，乙方应向甲方支付货款总额%的违约金。</w:t>
      </w:r>
    </w:p>
    <w:p w14:paraId="0317B03F">
      <w:pPr>
        <w:pageBreakBefore w:val="0"/>
        <w:kinsoku/>
        <w:wordWrap/>
        <w:topLinePunct w:val="0"/>
        <w:bidi w:val="0"/>
        <w:spacing w:line="520" w:lineRule="exact"/>
        <w:ind w:firstLine="360" w:firstLineChars="15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）乙方未按本合同第十条的规定向甲方交付履约保证金的，应按应交付履约保证金的%向甲方支付违约金，该违约金的支付不影响乙方应承担的其他违约责任。</w:t>
      </w:r>
    </w:p>
    <w:p w14:paraId="08CF82EC">
      <w:pPr>
        <w:pageBreakBefore w:val="0"/>
        <w:kinsoku/>
        <w:wordWrap/>
        <w:topLinePunct w:val="0"/>
        <w:bidi w:val="0"/>
        <w:spacing w:line="520" w:lineRule="exact"/>
        <w:ind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）乙方未按本合同的规定和“服务承诺”提供伴随服务/售后服务的，应按合同总价款的%向甲方承担违约责任。</w:t>
      </w:r>
    </w:p>
    <w:p w14:paraId="580F96A8">
      <w:pPr>
        <w:pageBreakBefore w:val="0"/>
        <w:kinsoku/>
        <w:wordWrap/>
        <w:topLinePunct w:val="0"/>
        <w:bidi w:val="0"/>
        <w:spacing w:line="520" w:lineRule="exact"/>
        <w:ind w:firstLine="240" w:firstLineChars="100"/>
        <w:jc w:val="left"/>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）乙方在承担上述1-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款一项或多项违约责任后，仍应继续履行合同规定的义务（甲方解除合同的除外）。甲方未能及时追究乙方的任何一项违约责任并不表明甲方放弃追究乙方该项或其他违约责任。</w:t>
      </w:r>
    </w:p>
    <w:p w14:paraId="1C39086A">
      <w:pPr>
        <w:pageBreakBefore w:val="0"/>
        <w:kinsoku/>
        <w:wordWrap/>
        <w:topLinePunct w:val="0"/>
        <w:bidi w:val="0"/>
        <w:spacing w:line="52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）乙方偿付的违约金不足以弥补甲方损失的，还应按甲方损失尚未弥补的部分，支付赔偿金给甲方。</w:t>
      </w:r>
    </w:p>
    <w:p w14:paraId="47956528">
      <w:pPr>
        <w:pageBreakBefore w:val="0"/>
        <w:kinsoku/>
        <w:wordWrap/>
        <w:topLinePunct w:val="0"/>
        <w:bidi w:val="0"/>
        <w:spacing w:line="520" w:lineRule="exact"/>
        <w:ind w:firstLine="482" w:firstLineChars="200"/>
        <w:jc w:val="left"/>
        <w:rPr>
          <w:rFonts w:hint="eastAsia" w:ascii="宋体" w:hAnsi="宋体" w:eastAsia="宋体" w:cs="宋体"/>
          <w:b/>
          <w:color w:val="auto"/>
          <w:sz w:val="24"/>
          <w:szCs w:val="24"/>
        </w:rPr>
      </w:pPr>
      <w:r>
        <w:rPr>
          <w:rFonts w:hint="eastAsia" w:ascii="宋体" w:hAnsi="宋体" w:eastAsia="宋体" w:cs="宋体"/>
          <w:b/>
          <w:color w:val="auto"/>
          <w:sz w:val="24"/>
          <w:szCs w:val="24"/>
        </w:rPr>
        <w:t>十、合同的变更和终止</w:t>
      </w:r>
    </w:p>
    <w:p w14:paraId="32A0048B">
      <w:pPr>
        <w:pageBreakBefore w:val="0"/>
        <w:kinsoku/>
        <w:wordWrap/>
        <w:topLinePunct w:val="0"/>
        <w:bidi w:val="0"/>
        <w:spacing w:line="52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除《政府采购法》第49条、第50条第二款规定的情形外，本合同一经签订，甲乙双方不得擅自变更、中止或终止合同。</w:t>
      </w:r>
    </w:p>
    <w:p w14:paraId="5EE51671">
      <w:pPr>
        <w:pageBreakBefore w:val="0"/>
        <w:kinsoku/>
        <w:wordWrap/>
        <w:topLinePunct w:val="0"/>
        <w:bidi w:val="0"/>
        <w:spacing w:line="520" w:lineRule="exact"/>
        <w:ind w:firstLine="482" w:firstLineChars="200"/>
        <w:jc w:val="left"/>
        <w:rPr>
          <w:rFonts w:hint="eastAsia" w:ascii="宋体" w:hAnsi="宋体" w:eastAsia="宋体" w:cs="宋体"/>
          <w:b/>
          <w:color w:val="auto"/>
          <w:sz w:val="24"/>
          <w:szCs w:val="24"/>
        </w:rPr>
      </w:pPr>
      <w:r>
        <w:rPr>
          <w:rFonts w:hint="eastAsia" w:ascii="宋体" w:hAnsi="宋体" w:eastAsia="宋体" w:cs="宋体"/>
          <w:b/>
          <w:color w:val="auto"/>
          <w:sz w:val="24"/>
          <w:szCs w:val="24"/>
        </w:rPr>
        <w:t>十一、争议的解决</w:t>
      </w:r>
    </w:p>
    <w:p w14:paraId="63D2FFFF">
      <w:pPr>
        <w:pageBreakBefore w:val="0"/>
        <w:kinsoku/>
        <w:wordWrap/>
        <w:topLinePunct w:val="0"/>
        <w:bidi w:val="0"/>
        <w:spacing w:line="52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1、因货物（产品）的质量问题发生争议，由质量技术监督部门或其指定的质量鉴定机构进行质量鉴定。货物符合标准的，鉴定费由甲方承担；货物（产品）不符合质量标准的，鉴定费由乙方承担。</w:t>
      </w:r>
    </w:p>
    <w:p w14:paraId="29FD11E0">
      <w:pPr>
        <w:pageBreakBefore w:val="0"/>
        <w:kinsoku/>
        <w:wordWrap/>
        <w:topLinePunct w:val="0"/>
        <w:bidi w:val="0"/>
        <w:spacing w:line="52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2、因履行本合同引起的或与本合同有关的争议，甲、乙双方应首先通过友好协商解决，如果协商不能解决争议，则采取以下第种方式解决争议：</w:t>
      </w:r>
    </w:p>
    <w:p w14:paraId="718612A0">
      <w:pPr>
        <w:pageBreakBefore w:val="0"/>
        <w:kinsoku/>
        <w:wordWrap/>
        <w:topLinePunct w:val="0"/>
        <w:bidi w:val="0"/>
        <w:spacing w:line="520" w:lineRule="exact"/>
        <w:ind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rPr>
        <w:t>（1）向甲方所在地有管辖权的人民法院提起诉讼；</w:t>
      </w:r>
    </w:p>
    <w:p w14:paraId="4D241277">
      <w:pPr>
        <w:pageBreakBefore w:val="0"/>
        <w:kinsoku/>
        <w:wordWrap/>
        <w:topLinePunct w:val="0"/>
        <w:bidi w:val="0"/>
        <w:spacing w:line="520" w:lineRule="exact"/>
        <w:ind w:firstLine="360" w:firstLineChars="150"/>
        <w:jc w:val="left"/>
        <w:rPr>
          <w:rFonts w:hint="eastAsia" w:ascii="宋体" w:hAnsi="宋体" w:eastAsia="宋体" w:cs="宋体"/>
          <w:color w:val="auto"/>
          <w:sz w:val="24"/>
          <w:szCs w:val="24"/>
        </w:rPr>
      </w:pPr>
      <w:r>
        <w:rPr>
          <w:rFonts w:hint="eastAsia" w:ascii="宋体" w:hAnsi="宋体" w:eastAsia="宋体" w:cs="宋体"/>
          <w:color w:val="auto"/>
          <w:sz w:val="24"/>
          <w:szCs w:val="24"/>
        </w:rPr>
        <w:t>（2）向 仲裁委员会按其仲裁规则申请仲裁。</w:t>
      </w:r>
    </w:p>
    <w:p w14:paraId="7A73FDC8">
      <w:pPr>
        <w:pageBreakBefore w:val="0"/>
        <w:kinsoku/>
        <w:wordWrap/>
        <w:topLinePunct w:val="0"/>
        <w:bidi w:val="0"/>
        <w:spacing w:line="52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3、在诉讼或仲裁期间，本合同应继续履行。</w:t>
      </w:r>
    </w:p>
    <w:p w14:paraId="2400B44A">
      <w:pPr>
        <w:pageBreakBefore w:val="0"/>
        <w:kinsoku/>
        <w:wordWrap/>
        <w:topLinePunct w:val="0"/>
        <w:autoSpaceDE w:val="0"/>
        <w:autoSpaceDN w:val="0"/>
        <w:bidi w:val="0"/>
        <w:adjustRightInd w:val="0"/>
        <w:spacing w:line="520" w:lineRule="exact"/>
        <w:ind w:firstLine="482" w:firstLineChars="200"/>
        <w:outlineLvl w:val="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十二、合同组成</w:t>
      </w:r>
      <w:bookmarkEnd w:id="24"/>
      <w:bookmarkEnd w:id="25"/>
    </w:p>
    <w:p w14:paraId="4E76CD40">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1、成交通知书</w:t>
      </w:r>
    </w:p>
    <w:p w14:paraId="474F967D">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2、合同文件</w:t>
      </w:r>
    </w:p>
    <w:p w14:paraId="6F9A60E5">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3、国家相关规范及标准</w:t>
      </w:r>
    </w:p>
    <w:p w14:paraId="379FFDC7">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4、供货技术规格及参数表</w:t>
      </w:r>
    </w:p>
    <w:p w14:paraId="31046D00">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5、竞争性</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文件</w:t>
      </w:r>
    </w:p>
    <w:p w14:paraId="75CC74B8">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6、响应文件</w:t>
      </w:r>
    </w:p>
    <w:p w14:paraId="3F5148DA">
      <w:pPr>
        <w:pageBreakBefore w:val="0"/>
        <w:kinsoku/>
        <w:wordWrap/>
        <w:topLinePunct w:val="0"/>
        <w:autoSpaceDE w:val="0"/>
        <w:autoSpaceDN w:val="0"/>
        <w:bidi w:val="0"/>
        <w:adjustRightInd w:val="0"/>
        <w:spacing w:line="520" w:lineRule="exact"/>
        <w:ind w:firstLine="482" w:firstLineChars="200"/>
        <w:outlineLvl w:val="0"/>
        <w:rPr>
          <w:rFonts w:hint="eastAsia" w:ascii="宋体" w:hAnsi="宋体" w:eastAsia="宋体" w:cs="宋体"/>
          <w:b/>
          <w:bCs/>
          <w:color w:val="auto"/>
          <w:sz w:val="24"/>
          <w:szCs w:val="24"/>
        </w:rPr>
      </w:pPr>
      <w:bookmarkStart w:id="26" w:name="_Toc497206307"/>
      <w:bookmarkStart w:id="27" w:name="_Toc497206197"/>
      <w:r>
        <w:rPr>
          <w:rFonts w:hint="eastAsia" w:ascii="宋体" w:hAnsi="宋体" w:eastAsia="宋体" w:cs="宋体"/>
          <w:b/>
          <w:bCs/>
          <w:color w:val="auto"/>
          <w:sz w:val="24"/>
          <w:szCs w:val="24"/>
          <w:lang w:val="zh-CN"/>
        </w:rPr>
        <w:t>十三、合同生效及其它</w:t>
      </w:r>
      <w:bookmarkEnd w:id="26"/>
      <w:bookmarkEnd w:id="27"/>
    </w:p>
    <w:p w14:paraId="447EAADC">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1、合同未尽事宜、由甲、乙双方协商，作为合同补充，与原合同具有同等法律效力。</w:t>
      </w:r>
    </w:p>
    <w:p w14:paraId="07B7BC05">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2、本合同正本一式份，甲方、乙方双方分别执份，备案份。</w:t>
      </w:r>
    </w:p>
    <w:p w14:paraId="71B8407F">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3、合同经甲乙双方盖章、签字后生效，合同签订地点为。</w:t>
      </w:r>
    </w:p>
    <w:p w14:paraId="5EDE6F9E">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4、生效时间：年月日</w:t>
      </w:r>
    </w:p>
    <w:p w14:paraId="15CBAD3F">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p>
    <w:p w14:paraId="70909764">
      <w:pPr>
        <w:pageBreakBefore w:val="0"/>
        <w:kinsoku/>
        <w:wordWrap/>
        <w:topLinePunct w:val="0"/>
        <w:bidi w:val="0"/>
        <w:adjustRightInd w:val="0"/>
        <w:snapToGrid w:val="0"/>
        <w:spacing w:line="520" w:lineRule="exact"/>
        <w:ind w:firstLine="480" w:firstLineChars="200"/>
        <w:rPr>
          <w:rFonts w:hint="eastAsia" w:ascii="宋体" w:hAnsi="宋体" w:eastAsia="宋体" w:cs="宋体"/>
          <w:color w:val="auto"/>
          <w:sz w:val="24"/>
          <w:szCs w:val="24"/>
        </w:rPr>
      </w:pPr>
    </w:p>
    <w:tbl>
      <w:tblPr>
        <w:tblStyle w:val="10"/>
        <w:tblW w:w="9286" w:type="dxa"/>
        <w:jc w:val="center"/>
        <w:tblLayout w:type="fixed"/>
        <w:tblCellMar>
          <w:top w:w="0" w:type="dxa"/>
          <w:left w:w="108" w:type="dxa"/>
          <w:bottom w:w="0" w:type="dxa"/>
          <w:right w:w="108" w:type="dxa"/>
        </w:tblCellMar>
      </w:tblPr>
      <w:tblGrid>
        <w:gridCol w:w="4643"/>
        <w:gridCol w:w="4643"/>
      </w:tblGrid>
      <w:tr w14:paraId="113B1B8E">
        <w:tblPrEx>
          <w:tblCellMar>
            <w:top w:w="0" w:type="dxa"/>
            <w:left w:w="108" w:type="dxa"/>
            <w:bottom w:w="0" w:type="dxa"/>
            <w:right w:w="108" w:type="dxa"/>
          </w:tblCellMar>
        </w:tblPrEx>
        <w:trPr>
          <w:jc w:val="center"/>
        </w:trPr>
        <w:tc>
          <w:tcPr>
            <w:tcW w:w="4643" w:type="dxa"/>
            <w:noWrap w:val="0"/>
            <w:vAlign w:val="top"/>
          </w:tcPr>
          <w:p w14:paraId="50AAA855">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甲方名称（盖章）:</w:t>
            </w:r>
          </w:p>
          <w:p w14:paraId="561349B3">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p w14:paraId="2E5B1D81">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代表人（签字）：</w:t>
            </w:r>
          </w:p>
          <w:p w14:paraId="6F8D6613">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p w14:paraId="7397E4DD">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p w14:paraId="386DDCF4">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帐号：</w:t>
            </w:r>
          </w:p>
        </w:tc>
        <w:tc>
          <w:tcPr>
            <w:tcW w:w="4643" w:type="dxa"/>
            <w:noWrap w:val="0"/>
            <w:vAlign w:val="top"/>
          </w:tcPr>
          <w:p w14:paraId="24B1A3BC">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乙方名称（盖章）:</w:t>
            </w:r>
          </w:p>
          <w:p w14:paraId="00D3FF4F">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p w14:paraId="427A1CA6">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代表人（签字）：</w:t>
            </w:r>
          </w:p>
          <w:p w14:paraId="7C91F777">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p w14:paraId="2903DF07">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p w14:paraId="60F0536E">
            <w:pPr>
              <w:pageBreakBefore w:val="0"/>
              <w:kinsoku/>
              <w:wordWrap/>
              <w:topLinePunct w:val="0"/>
              <w:bidi w:val="0"/>
              <w:adjustRightInd w:val="0"/>
              <w:snapToGrid w:val="0"/>
              <w:spacing w:line="520" w:lineRule="exact"/>
              <w:ind w:firstLine="645"/>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帐号：</w:t>
            </w:r>
          </w:p>
        </w:tc>
      </w:tr>
    </w:tbl>
    <w:p w14:paraId="3FF3797F">
      <w:pPr>
        <w:spacing w:line="360" w:lineRule="auto"/>
        <w:ind w:firstLine="560" w:firstLineChars="200"/>
        <w:rPr>
          <w:rFonts w:hint="eastAsia" w:ascii="宋体" w:hAnsi="宋体" w:eastAsia="宋体" w:cs="宋体"/>
          <w:color w:val="000000"/>
          <w:sz w:val="28"/>
          <w:szCs w:val="28"/>
        </w:rPr>
      </w:pPr>
    </w:p>
    <w:p w14:paraId="129D58C3">
      <w:pPr>
        <w:pageBreakBefore w:val="0"/>
        <w:kinsoku/>
        <w:wordWrap/>
        <w:topLinePunct w:val="0"/>
        <w:bidi w:val="0"/>
        <w:adjustRightInd w:val="0"/>
        <w:snapToGrid w:val="0"/>
        <w:spacing w:line="520" w:lineRule="exact"/>
        <w:rPr>
          <w:rFonts w:hint="eastAsia" w:ascii="宋体" w:hAnsi="宋体" w:eastAsia="宋体" w:cs="宋体"/>
          <w:strike/>
          <w:color w:val="auto"/>
          <w:sz w:val="24"/>
        </w:rPr>
      </w:pPr>
    </w:p>
    <w:p w14:paraId="3A3E798E"/>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7E333">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CBB0">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5FCBB0">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1B546">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44FD7"/>
    <w:multiLevelType w:val="singleLevel"/>
    <w:tmpl w:val="CAD44FD7"/>
    <w:lvl w:ilvl="0" w:tentative="0">
      <w:start w:val="5"/>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198768D"/>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3B61F1"/>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6">
    <w:name w:val="列出段落1"/>
    <w:basedOn w:val="1"/>
    <w:qFormat/>
    <w:uiPriority w:val="0"/>
    <w:pPr>
      <w:ind w:firstLine="420" w:firstLineChars="200"/>
    </w:pPr>
    <w:rPr>
      <w:szCs w:val="21"/>
    </w:rPr>
  </w:style>
  <w:style w:type="paragraph" w:customStyle="1" w:styleId="17">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8">
    <w:name w:val="样式 首行缩进:  2 字符"/>
    <w:basedOn w:val="1"/>
    <w:qFormat/>
    <w:uiPriority w:val="0"/>
    <w:pPr>
      <w:spacing w:line="400" w:lineRule="exact"/>
      <w:ind w:firstLine="200" w:firstLineChars="200"/>
    </w:pPr>
    <w:rPr>
      <w:rFonts w:ascii="Times New Roman" w:hAnsi="Times New Roman" w:eastAsia="宋体" w:cs="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813</Words>
  <Characters>829</Characters>
  <Lines>64</Lines>
  <Paragraphs>18</Paragraphs>
  <TotalTime>3</TotalTime>
  <ScaleCrop>false</ScaleCrop>
  <LinksUpToDate>false</LinksUpToDate>
  <CharactersWithSpaces>953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瞹曳</cp:lastModifiedBy>
  <cp:lastPrinted>2024-04-27T10:20:00Z</cp:lastPrinted>
  <dcterms:modified xsi:type="dcterms:W3CDTF">2026-05-15T10:22:53Z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94F9244021D84674BC4953CB389364A8_13</vt:lpwstr>
  </property>
  <property fmtid="{D5CDD505-2E9C-101B-9397-08002B2CF9AE}" pid="4" name="KSOTemplateDocerSaveRecord">
    <vt:lpwstr>eyJoZGlkIjoiM2EzNGEyYjE0NmJiZjFmZTNmNDgzNzY1ZDRkNzgzZmIiLCJ1c2VySWQiOiIyNDA1OTQ4OTcifQ==</vt:lpwstr>
  </property>
</Properties>
</file>