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版本号：HYX-ZFCG-2026-汉009号20260507001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眼科设备一批维保服务采购项目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HYX-ZFCG-2026-汉009号</w:t>
      </w:r>
      <w:r>
        <w:br/>
      </w:r>
      <w:r>
        <w:br/>
      </w:r>
      <w:r>
        <w:br/>
      </w:r>
    </w:p>
    <w:p>
      <w:pPr>
        <w:pStyle w:val="null3"/>
        <w:jc w:val="center"/>
        <w:outlineLvl w:val="2"/>
      </w:pPr>
      <w:r>
        <w:rPr>
          <w:rFonts w:ascii="仿宋_GB2312" w:hAnsi="仿宋_GB2312" w:cs="仿宋_GB2312" w:eastAsia="仿宋_GB2312"/>
          <w:sz w:val="28"/>
          <w:b/>
        </w:rPr>
        <w:t>陕西省勉县医院</w:t>
      </w:r>
    </w:p>
    <w:p>
      <w:pPr>
        <w:pStyle w:val="null3"/>
        <w:jc w:val="center"/>
        <w:outlineLvl w:val="2"/>
      </w:pPr>
      <w:r>
        <w:rPr>
          <w:rFonts w:ascii="仿宋_GB2312" w:hAnsi="仿宋_GB2312" w:cs="仿宋_GB2312" w:eastAsia="仿宋_GB2312"/>
          <w:sz w:val="28"/>
          <w:b/>
        </w:rPr>
        <w:t>华优信项目管理有限公司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华优信项目管理有限公司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陕西省勉县医院</w:t>
      </w:r>
      <w:r>
        <w:rPr>
          <w:rFonts w:ascii="仿宋_GB2312" w:hAnsi="仿宋_GB2312" w:cs="仿宋_GB2312" w:eastAsia="仿宋_GB2312"/>
        </w:rPr>
        <w:t>委托，拟对</w:t>
      </w:r>
      <w:r>
        <w:rPr>
          <w:rFonts w:ascii="仿宋_GB2312" w:hAnsi="仿宋_GB2312" w:cs="仿宋_GB2312" w:eastAsia="仿宋_GB2312"/>
        </w:rPr>
        <w:t>眼科设备一批维保服务采购项目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HYX-ZFCG-2026-汉009号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眼科设备一批维保服务采购项目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我院现有一批眼科设备开展专业维保服务。本次维保涵盖院内各类在用眼科诊疗、检查及辅助设备，主要包含设备全面检修、精度校准、清洁养护、隐患排查、易损件检查及故障处置等工作。通过常态化专业维保，保障设备运行稳定、参数精准，降低故障风险，保障临床诊疗工作正常开展，确保医疗服务安全有序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采购包1（陕西省勉县医院眼科设备一批维保服务采购项目）：属于专门面向中小企业采购。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陕西省勉县医院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陕西省汉中市勉县定军山镇绿缘路西段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陕西省勉县医院经办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0916-3232072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陕西省汉中市汉台区七里街道办事处光辉社区C1区1幢A2层16号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万先生、杨女士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0916-8880708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陕西省勉县医院</w:t>
      </w:r>
      <w:r>
        <w:rPr>
          <w:rFonts w:ascii="仿宋_GB2312" w:hAnsi="仿宋_GB2312" w:cs="仿宋_GB2312" w:eastAsia="仿宋_GB2312"/>
        </w:rPr>
        <w:t>和</w:t>
      </w:r>
      <w:r>
        <w:rPr>
          <w:rFonts w:ascii="仿宋_GB2312" w:hAnsi="仿宋_GB2312" w:cs="仿宋_GB2312" w:eastAsia="仿宋_GB2312"/>
        </w:rPr>
        <w:t>华优信项目管理有限公司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陕西省勉县医院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陕西省勉县医院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联系人：万先生、杨女士</w:t>
      </w:r>
    </w:p>
    <w:p>
      <w:pPr>
        <w:pStyle w:val="null3"/>
      </w:pPr>
      <w:r>
        <w:rPr>
          <w:rFonts w:ascii="仿宋_GB2312" w:hAnsi="仿宋_GB2312" w:cs="仿宋_GB2312" w:eastAsia="仿宋_GB2312"/>
        </w:rPr>
        <w:t>联系电话：0916-8880708</w:t>
      </w:r>
    </w:p>
    <w:p>
      <w:pPr>
        <w:pStyle w:val="null3"/>
      </w:pPr>
      <w:r>
        <w:rPr>
          <w:rFonts w:ascii="仿宋_GB2312" w:hAnsi="仿宋_GB2312" w:cs="仿宋_GB2312" w:eastAsia="仿宋_GB2312"/>
        </w:rPr>
        <w:t>地址：陕西省汉中市汉台区七里街道办事处光辉社区C1区1幢A2层16号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我院现有一批眼科设备开展专业维保服务。本次维保涵盖院内各类在用眼科诊疗、检查及辅助设备，主要包含设备全面检修、精度校准、清洁养护、隐患排查、易损件检查及故障处置等工作。通过常态化专业维保，保障设备运行稳定、参数精准，降低故障风险，保障临床诊疗工作正常开展，确保医疗服务安全有序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眼科设备一批维保服务</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标的名称：眼科设备一批维保服务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rPr>
              <w:t>一、维保设备清单</w:t>
            </w:r>
          </w:p>
          <w:tbl>
            <w:tblPr>
              <w:tblBorders>
                <w:top w:val="none" w:color="000000" w:sz="4"/>
                <w:left w:val="none" w:color="000000" w:sz="4"/>
                <w:bottom w:val="none" w:color="000000" w:sz="4"/>
                <w:right w:val="none" w:color="000000" w:sz="4"/>
                <w:insideH w:val="none"/>
                <w:insideV w:val="none"/>
              </w:tblBorders>
            </w:tblPr>
            <w:tblGrid>
              <w:gridCol w:w="215"/>
              <w:gridCol w:w="791"/>
              <w:gridCol w:w="458"/>
              <w:gridCol w:w="215"/>
              <w:gridCol w:w="422"/>
              <w:gridCol w:w="215"/>
              <w:gridCol w:w="215"/>
            </w:tblGrid>
            <w:tr>
              <w:tc>
                <w:tcPr>
                  <w:tcW w:type="dxa" w:w="215"/>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rPr>
                    <w:t>序号</w:t>
                  </w:r>
                </w:p>
              </w:tc>
              <w:tc>
                <w:tcPr>
                  <w:tcW w:type="dxa" w:w="791"/>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rPr>
                    <w:t>设备名称</w:t>
                  </w:r>
                </w:p>
              </w:tc>
              <w:tc>
                <w:tcPr>
                  <w:tcW w:type="dxa" w:w="458"/>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rPr>
                    <w:t>型号</w:t>
                  </w:r>
                </w:p>
              </w:tc>
              <w:tc>
                <w:tcPr>
                  <w:tcW w:type="dxa" w:w="215"/>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rPr>
                    <w:t>品牌</w:t>
                  </w:r>
                </w:p>
              </w:tc>
              <w:tc>
                <w:tcPr>
                  <w:tcW w:type="dxa" w:w="422"/>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rPr>
                    <w:t>装机时间</w:t>
                  </w:r>
                </w:p>
              </w:tc>
              <w:tc>
                <w:tcPr>
                  <w:tcW w:type="dxa" w:w="215"/>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rPr>
                    <w:t>数量</w:t>
                  </w:r>
                </w:p>
              </w:tc>
              <w:tc>
                <w:tcPr>
                  <w:tcW w:type="dxa" w:w="215"/>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rPr>
                    <w:t>备注</w:t>
                  </w:r>
                </w:p>
              </w:tc>
            </w:tr>
            <w:tr>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1</w:t>
                  </w:r>
                </w:p>
              </w:tc>
              <w:tc>
                <w:tcPr>
                  <w:tcW w:type="dxa" w:w="79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免散瞳眼底相机造影一体机</w:t>
                  </w:r>
                </w:p>
              </w:tc>
              <w:tc>
                <w:tcPr>
                  <w:tcW w:type="dxa" w:w="45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Visucam524</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蔡司</w:t>
                  </w:r>
                </w:p>
              </w:tc>
              <w:tc>
                <w:tcPr>
                  <w:tcW w:type="dxa" w:w="42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2019.11.22</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1台</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2</w:t>
                  </w:r>
                </w:p>
              </w:tc>
              <w:tc>
                <w:tcPr>
                  <w:tcW w:type="dxa" w:w="79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光相干断层扫描仪</w:t>
                  </w:r>
                </w:p>
              </w:tc>
              <w:tc>
                <w:tcPr>
                  <w:tcW w:type="dxa" w:w="45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Primus200</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蔡司</w:t>
                  </w:r>
                </w:p>
              </w:tc>
              <w:tc>
                <w:tcPr>
                  <w:tcW w:type="dxa" w:w="42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2019.02.28</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3</w:t>
                  </w:r>
                </w:p>
              </w:tc>
              <w:tc>
                <w:tcPr>
                  <w:tcW w:type="dxa" w:w="79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光学生物测量仪</w:t>
                  </w:r>
                </w:p>
              </w:tc>
              <w:tc>
                <w:tcPr>
                  <w:tcW w:type="dxa" w:w="45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Master500</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蔡司</w:t>
                  </w:r>
                </w:p>
              </w:tc>
              <w:tc>
                <w:tcPr>
                  <w:tcW w:type="dxa" w:w="42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2019.02.28</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4</w:t>
                  </w:r>
                </w:p>
              </w:tc>
              <w:tc>
                <w:tcPr>
                  <w:tcW w:type="dxa" w:w="79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眼底</w:t>
                  </w:r>
                  <w:r>
                    <w:rPr>
                      <w:rFonts w:ascii="仿宋_GB2312" w:hAnsi="仿宋_GB2312" w:cs="仿宋_GB2312" w:eastAsia="仿宋_GB2312"/>
                      <w:sz w:val="21"/>
                    </w:rPr>
                    <w:t>532激光</w:t>
                  </w:r>
                </w:p>
              </w:tc>
              <w:tc>
                <w:tcPr>
                  <w:tcW w:type="dxa" w:w="45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Visulas532s</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蔡司</w:t>
                  </w:r>
                </w:p>
              </w:tc>
              <w:tc>
                <w:tcPr>
                  <w:tcW w:type="dxa" w:w="42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2021.01.04</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5</w:t>
                  </w:r>
                </w:p>
              </w:tc>
              <w:tc>
                <w:tcPr>
                  <w:tcW w:type="dxa" w:w="79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眼科手术显微镜</w:t>
                  </w:r>
                </w:p>
              </w:tc>
              <w:tc>
                <w:tcPr>
                  <w:tcW w:type="dxa" w:w="45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LumeraT</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蔡司</w:t>
                  </w:r>
                </w:p>
              </w:tc>
              <w:tc>
                <w:tcPr>
                  <w:tcW w:type="dxa" w:w="42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2021.11.24</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6</w:t>
                  </w:r>
                </w:p>
              </w:tc>
              <w:tc>
                <w:tcPr>
                  <w:tcW w:type="dxa" w:w="79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非接触广角镜系统</w:t>
                  </w:r>
                </w:p>
              </w:tc>
              <w:tc>
                <w:tcPr>
                  <w:tcW w:type="dxa" w:w="45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Resight700</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蔡司</w:t>
                  </w:r>
                </w:p>
              </w:tc>
              <w:tc>
                <w:tcPr>
                  <w:tcW w:type="dxa" w:w="42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2021.11.24</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7</w:t>
                  </w:r>
                </w:p>
              </w:tc>
              <w:tc>
                <w:tcPr>
                  <w:tcW w:type="dxa" w:w="79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录像系统</w:t>
                  </w:r>
                </w:p>
              </w:tc>
              <w:tc>
                <w:tcPr>
                  <w:tcW w:type="dxa" w:w="45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i-Station</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蔡司</w:t>
                  </w:r>
                </w:p>
              </w:tc>
              <w:tc>
                <w:tcPr>
                  <w:tcW w:type="dxa" w:w="42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2021.11.24</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1套</w:t>
                  </w:r>
                </w:p>
              </w:tc>
              <w:tc>
                <w:tcPr>
                  <w:tcW w:type="dxa" w:w="215"/>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21"/>
              </w:rPr>
              <w:t>二、专业维保</w:t>
            </w:r>
            <w:r>
              <w:rPr>
                <w:rFonts w:ascii="仿宋_GB2312" w:hAnsi="仿宋_GB2312" w:cs="仿宋_GB2312" w:eastAsia="仿宋_GB2312"/>
                <w:sz w:val="21"/>
              </w:rPr>
              <w:t>要求</w:t>
            </w:r>
          </w:p>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配件范围：涵盖上述设备运行、维修、维护所需全部非一次性零配件及</w:t>
            </w:r>
            <w:r>
              <w:rPr>
                <w:rFonts w:ascii="仿宋_GB2312" w:hAnsi="仿宋_GB2312" w:cs="仿宋_GB2312" w:eastAsia="仿宋_GB2312"/>
                <w:sz w:val="21"/>
              </w:rPr>
              <w:t>材料。</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配件保障：更换配件须为全新正品，质量合格且与设备型号兼容适配，提供配件质量合格证明及正规采购渠道说明。</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服务范围：提供不限次数、不限软硬件的维修、维护、升级服务（软件升级需确保设备功能正常、数据安全，符合设备运行规范）。</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配件储备：供应商需具备专业的设备零备件储备能力，确保维修时配件及时供应；需提供备件储备证明材料（包括但不限于备件清单、库存照片、供货渠道合作证明等）。</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专项服务：</w:t>
            </w:r>
          </w:p>
          <w:p>
            <w:pPr>
              <w:pStyle w:val="null3"/>
              <w:ind w:firstLine="240"/>
              <w:jc w:val="both"/>
            </w:pPr>
            <w:r>
              <w:rPr>
                <w:rFonts w:ascii="仿宋_GB2312" w:hAnsi="仿宋_GB2312" w:cs="仿宋_GB2312" w:eastAsia="仿宋_GB2312"/>
                <w:sz w:val="21"/>
              </w:rPr>
              <w:t>①.</w:t>
            </w:r>
            <w:r>
              <w:rPr>
                <w:rFonts w:ascii="仿宋_GB2312" w:hAnsi="仿宋_GB2312" w:cs="仿宋_GB2312" w:eastAsia="仿宋_GB2312"/>
                <w:sz w:val="21"/>
              </w:rPr>
              <w:t>每年</w:t>
            </w:r>
            <w:r>
              <w:rPr>
                <w:rFonts w:ascii="仿宋_GB2312" w:hAnsi="仿宋_GB2312" w:cs="仿宋_GB2312" w:eastAsia="仿宋_GB2312"/>
                <w:sz w:val="21"/>
              </w:rPr>
              <w:t>2次 PMMA 手术安全评估测试</w:t>
            </w:r>
            <w:r>
              <w:rPr>
                <w:rFonts w:ascii="仿宋_GB2312" w:hAnsi="仿宋_GB2312" w:cs="仿宋_GB2312" w:eastAsia="仿宋_GB2312"/>
                <w:sz w:val="21"/>
              </w:rPr>
              <w:t>，确保设备各项参数符合设备运行规范及临床使用安全要求；</w:t>
            </w:r>
          </w:p>
          <w:p>
            <w:pPr>
              <w:pStyle w:val="null3"/>
              <w:ind w:firstLine="240"/>
              <w:jc w:val="both"/>
            </w:pPr>
            <w:r>
              <w:rPr>
                <w:rFonts w:ascii="仿宋_GB2312" w:hAnsi="仿宋_GB2312" w:cs="仿宋_GB2312" w:eastAsia="仿宋_GB2312"/>
                <w:sz w:val="21"/>
              </w:rPr>
              <w:t>②.提供设备合规软件升级服务（确保升级后设备功能稳定、兼容原有系统，不影响临床使用）；</w:t>
            </w:r>
          </w:p>
          <w:p>
            <w:pPr>
              <w:pStyle w:val="null3"/>
              <w:ind w:firstLine="240"/>
              <w:jc w:val="both"/>
            </w:pPr>
            <w:r>
              <w:rPr>
                <w:rFonts w:ascii="仿宋_GB2312" w:hAnsi="仿宋_GB2312" w:cs="仿宋_GB2312" w:eastAsia="仿宋_GB2312"/>
                <w:sz w:val="21"/>
              </w:rPr>
              <w:t>③.设备故障维修超72小时（自报修确认起算），需提供同功能、可正常使用的备用设备（附承诺函）。</w:t>
            </w:r>
          </w:p>
          <w:p>
            <w:pPr>
              <w:pStyle w:val="null3"/>
              <w:ind w:firstLine="480"/>
              <w:jc w:val="both"/>
            </w:pPr>
            <w:r>
              <w:rPr>
                <w:rFonts w:ascii="仿宋_GB2312" w:hAnsi="仿宋_GB2312" w:cs="仿宋_GB2312" w:eastAsia="仿宋_GB2312"/>
                <w:sz w:val="21"/>
              </w:rPr>
              <w:t>6.</w:t>
            </w:r>
            <w:r>
              <w:rPr>
                <w:rFonts w:ascii="仿宋_GB2312" w:hAnsi="仿宋_GB2312" w:cs="仿宋_GB2312" w:eastAsia="仿宋_GB2312"/>
                <w:sz w:val="21"/>
              </w:rPr>
              <w:t>责任划分：因维修工程师操作不当造成的设备损坏、性能下降或业务中断，由供应商承担全额修复费用及相关损失。</w:t>
            </w:r>
          </w:p>
          <w:p>
            <w:pPr>
              <w:pStyle w:val="null3"/>
              <w:ind w:firstLine="480"/>
              <w:jc w:val="both"/>
            </w:pPr>
            <w:r>
              <w:rPr>
                <w:rFonts w:ascii="仿宋_GB2312" w:hAnsi="仿宋_GB2312" w:cs="仿宋_GB2312" w:eastAsia="仿宋_GB2312"/>
                <w:sz w:val="21"/>
              </w:rPr>
              <w:t>7.</w:t>
            </w:r>
            <w:r>
              <w:rPr>
                <w:rFonts w:ascii="仿宋_GB2312" w:hAnsi="仿宋_GB2312" w:cs="仿宋_GB2312" w:eastAsia="仿宋_GB2312"/>
                <w:sz w:val="21"/>
              </w:rPr>
              <w:t>开机率保障：维保期内单台设备年开机率</w:t>
            </w:r>
            <w:r>
              <w:rPr>
                <w:rFonts w:ascii="仿宋_GB2312" w:hAnsi="仿宋_GB2312" w:cs="仿宋_GB2312" w:eastAsia="仿宋_GB2312"/>
                <w:sz w:val="21"/>
              </w:rPr>
              <w:t>≥95%；若单台设备累计停机时间超出允许范围，每超1天无偿延长5天维保期。</w:t>
            </w:r>
          </w:p>
          <w:p>
            <w:pPr>
              <w:pStyle w:val="null3"/>
              <w:ind w:firstLine="480"/>
              <w:jc w:val="both"/>
            </w:pPr>
            <w:r>
              <w:rPr>
                <w:rFonts w:ascii="仿宋_GB2312" w:hAnsi="仿宋_GB2312" w:cs="仿宋_GB2312" w:eastAsia="仿宋_GB2312"/>
                <w:sz w:val="21"/>
              </w:rPr>
              <w:t>8.</w:t>
            </w:r>
            <w:r>
              <w:rPr>
                <w:rFonts w:ascii="仿宋_GB2312" w:hAnsi="仿宋_GB2312" w:cs="仿宋_GB2312" w:eastAsia="仿宋_GB2312"/>
                <w:sz w:val="21"/>
              </w:rPr>
              <w:t>服务执行要求</w:t>
            </w:r>
          </w:p>
          <w:p>
            <w:pPr>
              <w:pStyle w:val="null3"/>
              <w:ind w:firstLine="240"/>
              <w:jc w:val="both"/>
            </w:pPr>
            <w:r>
              <w:rPr>
                <w:rFonts w:ascii="仿宋_GB2312" w:hAnsi="仿宋_GB2312" w:cs="仿宋_GB2312" w:eastAsia="仿宋_GB2312"/>
                <w:sz w:val="21"/>
              </w:rPr>
              <w:t>①.</w:t>
            </w:r>
            <w:r>
              <w:rPr>
                <w:rFonts w:ascii="仿宋_GB2312" w:hAnsi="仿宋_GB2312" w:cs="仿宋_GB2312" w:eastAsia="仿宋_GB2312"/>
                <w:sz w:val="21"/>
              </w:rPr>
              <w:t>人员配置：派遣</w:t>
            </w:r>
            <w:r>
              <w:rPr>
                <w:rFonts w:ascii="仿宋_GB2312" w:hAnsi="仿宋_GB2312" w:cs="仿宋_GB2312" w:eastAsia="仿宋_GB2312"/>
                <w:sz w:val="21"/>
              </w:rPr>
              <w:t>1名以上经原厂培训、持有效资质的维修工程师，人员备案后不得随意更改，变更需提前30天书面告知（附承诺函</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240"/>
              <w:jc w:val="both"/>
            </w:pPr>
            <w:r>
              <w:rPr>
                <w:rFonts w:ascii="仿宋_GB2312" w:hAnsi="仿宋_GB2312" w:cs="仿宋_GB2312" w:eastAsia="仿宋_GB2312"/>
                <w:sz w:val="21"/>
              </w:rPr>
              <w:t>②.</w:t>
            </w:r>
            <w:r>
              <w:rPr>
                <w:rFonts w:ascii="仿宋_GB2312" w:hAnsi="仿宋_GB2312" w:cs="仿宋_GB2312" w:eastAsia="仿宋_GB2312"/>
                <w:sz w:val="21"/>
              </w:rPr>
              <w:t>响应时效：提供</w:t>
            </w:r>
            <w:r>
              <w:rPr>
                <w:rFonts w:ascii="仿宋_GB2312" w:hAnsi="仿宋_GB2312" w:cs="仿宋_GB2312" w:eastAsia="仿宋_GB2312"/>
                <w:sz w:val="21"/>
              </w:rPr>
              <w:t>24小时×365天在线技术支持，接到报修需求后30分钟内做出明确响应（包括故障初步判断、维修方案告知）；</w:t>
            </w:r>
            <w:r>
              <w:rPr>
                <w:rFonts w:ascii="仿宋_GB2312" w:hAnsi="仿宋_GB2312" w:cs="仿宋_GB2312" w:eastAsia="仿宋_GB2312"/>
                <w:sz w:val="21"/>
              </w:rPr>
              <w:t>对远程无法解决的故障，</w:t>
            </w:r>
            <w:r>
              <w:rPr>
                <w:rFonts w:ascii="仿宋_GB2312" w:hAnsi="仿宋_GB2312" w:cs="仿宋_GB2312" w:eastAsia="仿宋_GB2312"/>
                <w:sz w:val="21"/>
              </w:rPr>
              <w:t>现场维修人员需在</w:t>
            </w:r>
            <w:r>
              <w:rPr>
                <w:rFonts w:ascii="仿宋_GB2312" w:hAnsi="仿宋_GB2312" w:cs="仿宋_GB2312" w:eastAsia="仿宋_GB2312"/>
                <w:sz w:val="21"/>
              </w:rPr>
              <w:t>72小时内抵达现场。</w:t>
            </w:r>
          </w:p>
          <w:p>
            <w:pPr>
              <w:pStyle w:val="null3"/>
              <w:ind w:firstLine="240"/>
              <w:jc w:val="both"/>
            </w:pPr>
            <w:r>
              <w:rPr>
                <w:rFonts w:ascii="仿宋_GB2312" w:hAnsi="仿宋_GB2312" w:cs="仿宋_GB2312" w:eastAsia="仿宋_GB2312"/>
                <w:sz w:val="21"/>
              </w:rPr>
              <w:t>③.</w:t>
            </w:r>
            <w:r>
              <w:rPr>
                <w:rFonts w:ascii="仿宋_GB2312" w:hAnsi="仿宋_GB2312" w:cs="仿宋_GB2312" w:eastAsia="仿宋_GB2312"/>
                <w:sz w:val="21"/>
              </w:rPr>
              <w:t>维保频次：每年至少</w:t>
            </w:r>
            <w:r>
              <w:rPr>
                <w:rFonts w:ascii="仿宋_GB2312" w:hAnsi="仿宋_GB2312" w:cs="仿宋_GB2312" w:eastAsia="仿宋_GB2312"/>
                <w:sz w:val="21"/>
              </w:rPr>
              <w:t>2次预防性保养（含寒暑假前巡检），每季度1次常规巡检；建立完整的维保档案（包括巡检记录、维修报告、配件更换清单等），按季度向甲方提交巡检报告，年度结束后1个月内提交年度服务总结报告。</w:t>
            </w:r>
          </w:p>
          <w:p>
            <w:pPr>
              <w:pStyle w:val="null3"/>
              <w:ind w:firstLine="240"/>
              <w:jc w:val="both"/>
            </w:pPr>
            <w:r>
              <w:rPr>
                <w:rFonts w:ascii="仿宋_GB2312" w:hAnsi="仿宋_GB2312" w:cs="仿宋_GB2312" w:eastAsia="仿宋_GB2312"/>
                <w:sz w:val="21"/>
              </w:rPr>
              <w:t>④.</w:t>
            </w:r>
            <w:r>
              <w:rPr>
                <w:rFonts w:ascii="仿宋_GB2312" w:hAnsi="仿宋_GB2312" w:cs="仿宋_GB2312" w:eastAsia="仿宋_GB2312"/>
                <w:sz w:val="21"/>
              </w:rPr>
              <w:t>管理要求：</w:t>
            </w:r>
            <w:r>
              <w:rPr>
                <w:rFonts w:ascii="仿宋_GB2312" w:hAnsi="仿宋_GB2312" w:cs="仿宋_GB2312" w:eastAsia="仿宋_GB2312"/>
                <w:sz w:val="21"/>
              </w:rPr>
              <w:t>制定维保管理方案及质量安全保障体系，严格按设备说明书标准开展服务</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9.其他</w:t>
            </w:r>
          </w:p>
          <w:p>
            <w:pPr>
              <w:pStyle w:val="null3"/>
              <w:ind w:firstLine="240"/>
              <w:jc w:val="both"/>
            </w:pPr>
            <w:r>
              <w:rPr>
                <w:rFonts w:ascii="仿宋_GB2312" w:hAnsi="仿宋_GB2312" w:cs="仿宋_GB2312" w:eastAsia="仿宋_GB2312"/>
                <w:sz w:val="21"/>
              </w:rPr>
              <w:t>①.</w:t>
            </w:r>
            <w:r>
              <w:rPr>
                <w:rFonts w:ascii="仿宋_GB2312" w:hAnsi="仿宋_GB2312" w:cs="仿宋_GB2312" w:eastAsia="仿宋_GB2312"/>
                <w:sz w:val="21"/>
              </w:rPr>
              <w:t>甲方有权自行采购配件。</w:t>
            </w:r>
          </w:p>
          <w:p>
            <w:pPr>
              <w:pStyle w:val="null3"/>
            </w:pPr>
            <w:r>
              <w:rPr>
                <w:rFonts w:ascii="仿宋_GB2312" w:hAnsi="仿宋_GB2312" w:cs="仿宋_GB2312" w:eastAsia="仿宋_GB2312"/>
                <w:sz w:val="21"/>
              </w:rPr>
              <w:t xml:space="preserve"> ②.</w:t>
            </w:r>
            <w:r>
              <w:rPr>
                <w:rFonts w:ascii="仿宋_GB2312" w:hAnsi="仿宋_GB2312" w:cs="仿宋_GB2312" w:eastAsia="仿宋_GB2312"/>
                <w:sz w:val="21"/>
              </w:rPr>
              <w:t>遵守数据保密安全规定，不得泄露甲方医疗数据。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满足项目人员配备要求。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根据项目实际情况提供实施设备。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质量：符合国家、行业要求，达到合格标准。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合同签订后，开具对应金额的发票后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合同履行满6个月，开具对应金额的发票后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合同履行满12个月，开具对应金额的发票后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合同履行满18个月，开具对应金额的发票后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合同履行满24个月，开具对应金额的发票后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合同履行期满30个月，开具对应金额的发票后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③如供应商提交的成果达不到相关质量要求或未按采购人时间进度安排完成成果或最终为通过消防验收，采购人有权扣除合同支付金额和提出解除合同。 （2）争议解决办法 ①采购人及供应商双方就采购合同所产生的任何争议都应该进行友好协商，协商解决不成的，任何一方均可向项目所在地法院申请诉讼。 ②诉讼费应由败诉方承担。 ③在诉讼期间，除正在进行诉讼的部分外，合同其他部分继续执行。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因本项目为不见面开标，供应商无需在开标现场提交纸质响应文件，待采购结果发布后3个工作日内由中标供应商向代理机构提交纸质版响应文件以便于存档，响应文件包括:正本一份、副本二份，电子版U盘二份 (含响应文件全部内容)。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服务内容及服务邀请应答表 供应商应提交的相关资格证明材料.docx 中小企业声明函 残疾人福利性单位声明函 商务应答表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响应文件是否按磋商文件要求签署、盖章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标的清单 报价表 响应函 项目服务实施方案.docx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响应文件报价唯一，且没有高于项目预算</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供应商提供2023年1月1日以来完成的类似项目业绩，每提供一个得2.5分，最高得5分。（提供完整的合同协议书原件或加盖公章的复印件）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技术评审满分30分，磋商响应文件完全响应磋商文件技术要求、无负偏离的得基准满分；技术条款每存在一项负偏离扣2分，扣完本项分值为止；若存在正偏离，供应商须同步提供有效佐证材料，经评审小组审核，确属于正偏离的，每项正偏离加1分，本项得分最高不超过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供应商需针对本项目制定完善的人员配置方案，包含①人员资质与岗位匹配度、②人员配置数量与排班计划、③人员管理与保障措施。方案合理完善，每项计3分，最高计9分，若上述内容存在缺陷，每项每出现一处缺陷扣1分，每项最多扣3分。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维修响应方案</w:t>
            </w:r>
          </w:p>
        </w:tc>
        <w:tc>
          <w:tcPr>
            <w:tcW w:type="dxa" w:w="2492"/>
          </w:tcPr>
          <w:p>
            <w:pPr>
              <w:pStyle w:val="null3"/>
            </w:pPr>
            <w:r>
              <w:rPr>
                <w:rFonts w:ascii="仿宋_GB2312" w:hAnsi="仿宋_GB2312" w:cs="仿宋_GB2312" w:eastAsia="仿宋_GB2312"/>
              </w:rPr>
              <w:t>供应商需针对本项目制定完善的维修响应方案，包含①响应时效与流程、②故障处理与技术支持、③应急保障与备用资源。方案合理完善，每项计3分，最高计9分，若上述内容存在缺陷，每项每出现一处缺陷扣1分，每项最多扣3分。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供应商需针对本项目制定完善的维保方案，包含①维保周期与内容、②维保标准与质量控制、③维保安全与风险防范。方案合理完善，每项计3分，最高计9分，若上述内容存在缺陷，每项每出现一处缺陷扣1分，每项最多扣3分。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供应商需针对本项目制定完善的项目管理方案，包含①组织架构与职责分工、②进度管理与沟通机制、③质量监督与投诉处理。方案合理完善，每项计3分，最高计9分，若上述内容存在缺陷，每项每出现一处缺陷扣1分，每项最多扣3分。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备件保障与资源储备方案</w:t>
            </w:r>
          </w:p>
        </w:tc>
        <w:tc>
          <w:tcPr>
            <w:tcW w:type="dxa" w:w="2492"/>
          </w:tcPr>
          <w:p>
            <w:pPr>
              <w:pStyle w:val="null3"/>
            </w:pPr>
            <w:r>
              <w:rPr>
                <w:rFonts w:ascii="仿宋_GB2312" w:hAnsi="仿宋_GB2312" w:cs="仿宋_GB2312" w:eastAsia="仿宋_GB2312"/>
              </w:rPr>
              <w:t>供应商需针对本项目制定完善的备件保障与资源储备方案，包含①关键备件库存与本地化储备、②备件采购渠道与供应时效、③备件质量与溯源管理。方案合理完善，每项计3分，最高计9分，若上述内容存在缺陷，每项每出现一处缺陷扣1分，每项最多扣 3 分。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供应商需针对本项目提供明确的服务承诺与增值服务方案，包含①免费培训与技术支持服务、②优化改进与合理化建议。方案合理完善，每项计3分，最高计6分，若上述内容存在缺陷，每项每出现一处缺陷扣1分，每项最多扣3分。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保密承诺与信息安全保障方案</w:t>
            </w:r>
          </w:p>
        </w:tc>
        <w:tc>
          <w:tcPr>
            <w:tcW w:type="dxa" w:w="2492"/>
          </w:tcPr>
          <w:p>
            <w:pPr>
              <w:pStyle w:val="null3"/>
            </w:pPr>
            <w:r>
              <w:rPr>
                <w:rFonts w:ascii="仿宋_GB2312" w:hAnsi="仿宋_GB2312" w:cs="仿宋_GB2312" w:eastAsia="仿宋_GB2312"/>
              </w:rPr>
              <w:t>1、提供保密承诺的计1分； 2、供应商需针对本项目制定完善的保密承诺与信息安全保障方案，包含①患者隐私与医疗数据保密措施、②医院内部信息系统与设备数据安全防护、③维保人员保密管理与责任机制。方案合理完善，每项计1分，最高计3分，若上述内容存在缺陷，每项每出现一处缺陷扣0.5分，每项最多扣1分。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价格分采用低价优先法得算，即满足磋商文件要求且投标报价最低的报价为评标基准价，其价格分为满分。其他投标人的价格分统一按照下列公式得算：报价得分=(评标基准价／投标报价)×10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