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版本号：SXHC2026-10720260525001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西安经开区北田街道滩王村排水管网改造项目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SXHC2026-107</w:t>
      </w:r>
      <w:r>
        <w:br/>
      </w:r>
      <w:r>
        <w:br/>
      </w:r>
      <w:r>
        <w:br/>
      </w:r>
    </w:p>
    <w:p>
      <w:pPr>
        <w:pStyle w:val="null3"/>
        <w:jc w:val="center"/>
        <w:outlineLvl w:val="2"/>
      </w:pPr>
      <w:r>
        <w:rPr>
          <w:rFonts w:ascii="仿宋_GB2312" w:hAnsi="仿宋_GB2312" w:cs="仿宋_GB2312" w:eastAsia="仿宋_GB2312"/>
          <w:sz w:val="28"/>
          <w:b/>
        </w:rPr>
        <w:t>西安市临潼区北田街道办事处</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西安市临潼区北田街道办事处</w:t>
      </w:r>
      <w:r>
        <w:rPr>
          <w:rFonts w:ascii="仿宋_GB2312" w:hAnsi="仿宋_GB2312" w:cs="仿宋_GB2312" w:eastAsia="仿宋_GB2312"/>
        </w:rPr>
        <w:t>委托，拟对</w:t>
      </w:r>
      <w:r>
        <w:rPr>
          <w:rFonts w:ascii="仿宋_GB2312" w:hAnsi="仿宋_GB2312" w:cs="仿宋_GB2312" w:eastAsia="仿宋_GB2312"/>
        </w:rPr>
        <w:t>西安经开区北田街道滩王村排水管网改造项目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SXHC2026-107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西安经开区北田街道滩王村排水管网改造项目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西安经开区北田街道滩王村排水管网改造项目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采购包1（西安经开区北田街道滩王村排水管网改造项目）：属于专门面向中小企业采购。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3、企业资质：供应商具备建设行政主管部门颁发的市政公用工程施工总承包三级及以上资质，且具备有效的安全生产许可证。</w:t>
      </w:r>
    </w:p>
    <w:p>
      <w:pPr>
        <w:pStyle w:val="null3"/>
      </w:pPr>
      <w:r>
        <w:rPr>
          <w:rFonts w:ascii="仿宋_GB2312" w:hAnsi="仿宋_GB2312" w:cs="仿宋_GB2312" w:eastAsia="仿宋_GB2312"/>
        </w:rPr>
        <w:t>4、拟派项目经理资质和专业要求：证书等级：注册建造师二级及以上执业资格；专业：市政公用工程专业；补充说明：具备有效的安全生产考核合格证书, 且在本单位注册，无在建项目（提供承诺书）。</w:t>
      </w:r>
    </w:p>
    <w:p>
      <w:pPr>
        <w:pStyle w:val="null3"/>
      </w:pPr>
      <w:r>
        <w:rPr>
          <w:rFonts w:ascii="仿宋_GB2312" w:hAnsi="仿宋_GB2312" w:cs="仿宋_GB2312" w:eastAsia="仿宋_GB2312"/>
        </w:rPr>
        <w:t>5、基本信息查询：供应商基本信息及项目经理的基本信息在“全国建筑市场监管公共服务平台”可查询且无不良记录（提供网页截图）。</w:t>
      </w:r>
    </w:p>
    <w:p>
      <w:pPr>
        <w:pStyle w:val="null3"/>
      </w:pPr>
      <w:r>
        <w:rPr>
          <w:rFonts w:ascii="仿宋_GB2312" w:hAnsi="仿宋_GB2312" w:cs="仿宋_GB2312" w:eastAsia="仿宋_GB2312"/>
        </w:rPr>
        <w:t>6、依法缴纳税收和社会保障资金：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p>
      <w:pPr>
        <w:pStyle w:val="null3"/>
      </w:pPr>
      <w:r>
        <w:rPr>
          <w:rFonts w:ascii="仿宋_GB2312" w:hAnsi="仿宋_GB2312" w:cs="仿宋_GB2312" w:eastAsia="仿宋_GB2312"/>
        </w:rPr>
        <w:t>7、履行本合同所必需的设备和专业技术能力：提供具有履行本合同所必需的设备和专业技术能力的书面声明。</w:t>
      </w:r>
    </w:p>
    <w:p>
      <w:pPr>
        <w:pStyle w:val="null3"/>
      </w:pPr>
      <w:r>
        <w:rPr>
          <w:rFonts w:ascii="仿宋_GB2312" w:hAnsi="仿宋_GB2312" w:cs="仿宋_GB2312" w:eastAsia="仿宋_GB2312"/>
        </w:rPr>
        <w:t>8、无重大违法记录书面声明：提供参加政府采购活动前3年内在经营活动中没有重大违法记录的书面声明。</w:t>
      </w:r>
    </w:p>
    <w:p>
      <w:pPr>
        <w:pStyle w:val="null3"/>
      </w:pPr>
      <w:r>
        <w:rPr>
          <w:rFonts w:ascii="仿宋_GB2312" w:hAnsi="仿宋_GB2312" w:cs="仿宋_GB2312" w:eastAsia="仿宋_GB2312"/>
        </w:rPr>
        <w:t>9、信誉要求：供应商未列入“失信被执行人”、“重大税收违法案件当事人名单”和“政府采购严重违法失信行为记录名单”。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西安市临潼区北田街道办事处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临潼区北田街道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029-83989005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陕西省西安市雁塔区陕西省西安市高新区锦业路1号绿地中央广场领海AB座2幢1单元12005室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18729904539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西安经济技术开发区政府采购管理股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邓谷元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029-86538460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采购包1：1,332,300.00元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水泥混凝土、波纹管</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计算方法：以成交金额为基数，参考《国家计委关于印发&lt;招标代理服务收费管理暂行办法&gt;的通知》（计价格〔2002〕1980号）及《国家发改委关于降低部分建设项目收费标准规范收费行为等有关问题的通知（发改价格〔2011〕534号）规定按标准收取，若按照标准收取不足6000元，按6000元计取。 （2）代理服务费可以采取现金、支票、银行汇票、电汇、网银等方式缴纳。 （3）代理服务费缴纳信息： 银行户名：陕西华采招标有限公司 开户银行：招商银行陕西自贸试验区西安高新科技支行 账 号：1299 0594 2210 666 联 系人：韩工 联系电话：029-68255920转802</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西安市临潼区北田街道办事处</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西安市临潼区北田街道办事处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西安市临潼区北田街道办事处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联系电话：029-68255920转806</w:t>
      </w:r>
    </w:p>
    <w:p>
      <w:pPr>
        <w:pStyle w:val="null3"/>
      </w:pPr>
      <w:r>
        <w:rPr>
          <w:rFonts w:ascii="仿宋_GB2312" w:hAnsi="仿宋_GB2312" w:cs="仿宋_GB2312" w:eastAsia="仿宋_GB2312"/>
        </w:rPr>
        <w:t>地址：西安高新区锦业路1号绿地领海大厦B座10楼1006室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1,332,300.00</w:t>
      </w:r>
    </w:p>
    <w:p>
      <w:pPr>
        <w:pStyle w:val="null3"/>
      </w:pPr>
      <w:r>
        <w:rPr>
          <w:rFonts w:ascii="仿宋_GB2312" w:hAnsi="仿宋_GB2312" w:cs="仿宋_GB2312" w:eastAsia="仿宋_GB2312"/>
        </w:rPr>
        <w:t>采购包最高限价（元）: 1,332,300.00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西安经开区北田街道滩王村排水管网改造项目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1,332,300.00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标的名称：西安经开区北田街道滩王村排水管网改造项目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pPr>
            <w:r>
              <w:rPr>
                <w:rFonts w:ascii="仿宋_GB2312" w:hAnsi="仿宋_GB2312" w:cs="仿宋_GB2312" w:eastAsia="仿宋_GB2312"/>
                <w:b/>
              </w:rPr>
              <w:t>一、项目概况</w:t>
            </w:r>
          </w:p>
          <w:p>
            <w:pPr>
              <w:pStyle w:val="null3"/>
              <w:ind w:firstLine="560"/>
            </w:pPr>
            <w:r>
              <w:rPr>
                <w:rFonts w:ascii="仿宋_GB2312" w:hAnsi="仿宋_GB2312" w:cs="仿宋_GB2312" w:eastAsia="仿宋_GB2312"/>
                <w:color w:val="000000"/>
              </w:rPr>
              <w:t>西安经开区北田街道滩王村排水管网改造项目，</w:t>
            </w:r>
            <w:r>
              <w:rPr>
                <w:rFonts w:ascii="仿宋_GB2312" w:hAnsi="仿宋_GB2312" w:cs="仿宋_GB2312" w:eastAsia="仿宋_GB2312"/>
                <w:color w:val="000000"/>
              </w:rPr>
              <w:t>位于西安市临潼区滩王村，施工内容如下：</w:t>
            </w:r>
          </w:p>
          <w:p>
            <w:pPr>
              <w:pStyle w:val="null3"/>
              <w:ind w:firstLine="560"/>
            </w:pPr>
            <w:r>
              <w:rPr>
                <w:rFonts w:ascii="仿宋_GB2312" w:hAnsi="仿宋_GB2312" w:cs="仿宋_GB2312" w:eastAsia="仿宋_GB2312"/>
                <w:color w:val="000000"/>
              </w:rPr>
              <w:t>（一）</w:t>
            </w:r>
            <w:r>
              <w:rPr>
                <w:rFonts w:ascii="仿宋_GB2312" w:hAnsi="仿宋_GB2312" w:cs="仿宋_GB2312" w:eastAsia="仿宋_GB2312"/>
                <w:color w:val="000000"/>
              </w:rPr>
              <w:t>钢带增强聚乙烯(PE)DN600螺旋波纹管830米；Φ1000圆形砖砌排水检查井5座，做法参见陕09S9-P40；</w:t>
            </w:r>
          </w:p>
          <w:p>
            <w:pPr>
              <w:pStyle w:val="null3"/>
              <w:ind w:firstLine="560"/>
            </w:pPr>
            <w:r>
              <w:rPr>
                <w:rFonts w:ascii="仿宋_GB2312" w:hAnsi="仿宋_GB2312" w:cs="仿宋_GB2312" w:eastAsia="仿宋_GB2312"/>
                <w:color w:val="000000"/>
              </w:rPr>
              <w:t>（二）</w:t>
            </w:r>
            <w:r>
              <w:rPr>
                <w:rFonts w:ascii="仿宋_GB2312" w:hAnsi="仿宋_GB2312" w:cs="仿宋_GB2312" w:eastAsia="仿宋_GB2312"/>
                <w:color w:val="000000"/>
              </w:rPr>
              <w:t>矩形直线钢筋混凝土排水检查井（1100*1100）2座，做法参见陕09SS-P47；</w:t>
            </w:r>
          </w:p>
          <w:p>
            <w:pPr>
              <w:pStyle w:val="null3"/>
              <w:ind w:firstLine="560"/>
            </w:pPr>
            <w:r>
              <w:rPr>
                <w:rFonts w:ascii="仿宋_GB2312" w:hAnsi="仿宋_GB2312" w:cs="仿宋_GB2312" w:eastAsia="仿宋_GB2312"/>
                <w:color w:val="000000"/>
              </w:rPr>
              <w:t>（三）</w:t>
            </w:r>
            <w:r>
              <w:rPr>
                <w:rFonts w:ascii="仿宋_GB2312" w:hAnsi="仿宋_GB2312" w:cs="仿宋_GB2312" w:eastAsia="仿宋_GB2312"/>
                <w:color w:val="000000"/>
              </w:rPr>
              <w:t>带防坠网的重型可调式球墨铸铁井框、盖（D400级）7套；道路拆除1666.98㎡；道路恢复1666.98㎡</w:t>
            </w:r>
            <w:r>
              <w:rPr>
                <w:rFonts w:ascii="仿宋_GB2312" w:hAnsi="仿宋_GB2312" w:cs="仿宋_GB2312" w:eastAsia="仿宋_GB2312"/>
                <w:color w:val="000000"/>
              </w:rPr>
              <w:t>等。</w:t>
            </w:r>
          </w:p>
          <w:p>
            <w:pPr>
              <w:pStyle w:val="null3"/>
              <w:ind w:firstLine="560"/>
            </w:pPr>
            <w:r>
              <w:rPr>
                <w:rFonts w:ascii="仿宋_GB2312" w:hAnsi="仿宋_GB2312" w:cs="仿宋_GB2312" w:eastAsia="仿宋_GB2312"/>
                <w:color w:val="000000"/>
              </w:rPr>
              <w:t>具体内容详见</w:t>
            </w:r>
            <w:r>
              <w:rPr>
                <w:rFonts w:ascii="仿宋_GB2312" w:hAnsi="仿宋_GB2312" w:cs="仿宋_GB2312" w:eastAsia="仿宋_GB2312"/>
                <w:color w:val="000000"/>
              </w:rPr>
              <w:t>工程量</w:t>
            </w:r>
            <w:r>
              <w:rPr>
                <w:rFonts w:ascii="仿宋_GB2312" w:hAnsi="仿宋_GB2312" w:cs="仿宋_GB2312" w:eastAsia="仿宋_GB2312"/>
                <w:color w:val="000000"/>
              </w:rPr>
              <w:t>清单</w:t>
            </w:r>
            <w:r>
              <w:rPr>
                <w:rFonts w:ascii="仿宋_GB2312" w:hAnsi="仿宋_GB2312" w:cs="仿宋_GB2312" w:eastAsia="仿宋_GB2312"/>
                <w:color w:val="000000"/>
              </w:rPr>
              <w:t>及</w:t>
            </w:r>
            <w:r>
              <w:rPr>
                <w:rFonts w:ascii="仿宋_GB2312" w:hAnsi="仿宋_GB2312" w:cs="仿宋_GB2312" w:eastAsia="仿宋_GB2312"/>
                <w:color w:val="000000"/>
              </w:rPr>
              <w:t>设计图纸。</w:t>
            </w:r>
          </w:p>
          <w:p>
            <w:pPr>
              <w:pStyle w:val="null3"/>
              <w:ind w:firstLine="562"/>
            </w:pPr>
            <w:r>
              <w:rPr>
                <w:rFonts w:ascii="仿宋_GB2312" w:hAnsi="仿宋_GB2312" w:cs="仿宋_GB2312" w:eastAsia="仿宋_GB2312"/>
                <w:b/>
              </w:rPr>
              <w:t>二、商务要求</w:t>
            </w:r>
          </w:p>
          <w:p>
            <w:pPr>
              <w:pStyle w:val="null3"/>
              <w:ind w:firstLine="560"/>
            </w:pPr>
            <w:r>
              <w:rPr>
                <w:rFonts w:ascii="仿宋_GB2312" w:hAnsi="仿宋_GB2312" w:cs="仿宋_GB2312" w:eastAsia="仿宋_GB2312"/>
              </w:rPr>
              <w:t>（一）工期：自合同签订之日起60日历天。</w:t>
            </w:r>
          </w:p>
          <w:p>
            <w:pPr>
              <w:pStyle w:val="null3"/>
              <w:ind w:firstLine="560"/>
            </w:pPr>
            <w:r>
              <w:rPr>
                <w:rFonts w:ascii="仿宋_GB2312" w:hAnsi="仿宋_GB2312" w:cs="仿宋_GB2312" w:eastAsia="仿宋_GB2312"/>
              </w:rPr>
              <w:t>（二）工程地点：西安经开区北田街道滩王村，具体以采购人指定地点为准。</w:t>
            </w:r>
          </w:p>
          <w:p>
            <w:pPr>
              <w:pStyle w:val="null3"/>
              <w:ind w:firstLine="560"/>
            </w:pPr>
            <w:r>
              <w:rPr>
                <w:rFonts w:ascii="仿宋_GB2312" w:hAnsi="仿宋_GB2312" w:cs="仿宋_GB2312" w:eastAsia="仿宋_GB2312"/>
              </w:rPr>
              <w:t>（三）工程质量标准：达到国家、省市或相关行业规范“合格”标准要求。</w:t>
            </w:r>
          </w:p>
          <w:p>
            <w:pPr>
              <w:pStyle w:val="null3"/>
              <w:ind w:firstLine="560"/>
            </w:pPr>
            <w:r>
              <w:rPr>
                <w:rFonts w:ascii="仿宋_GB2312" w:hAnsi="仿宋_GB2312" w:cs="仿宋_GB2312" w:eastAsia="仿宋_GB2312"/>
              </w:rPr>
              <w:t>（四）工程量清单及图纸（详见附件）。</w:t>
            </w:r>
          </w:p>
          <w:p>
            <w:pPr>
              <w:pStyle w:val="null3"/>
              <w:ind w:firstLine="562"/>
            </w:pPr>
            <w:r>
              <w:rPr>
                <w:rFonts w:ascii="仿宋_GB2312" w:hAnsi="仿宋_GB2312" w:cs="仿宋_GB2312" w:eastAsia="仿宋_GB2312"/>
                <w:b/>
              </w:rPr>
              <w:t>三、质量保证、服务要求</w:t>
            </w:r>
          </w:p>
          <w:p>
            <w:pPr>
              <w:pStyle w:val="null3"/>
              <w:ind w:firstLine="560"/>
            </w:pPr>
            <w:r>
              <w:rPr>
                <w:rFonts w:ascii="仿宋_GB2312" w:hAnsi="仿宋_GB2312" w:cs="仿宋_GB2312" w:eastAsia="仿宋_GB2312"/>
              </w:rPr>
              <w:t>（一）工程质量应当达到约定的质量标准，质量标准的评定以国家或行业的质量检验评定标准为依据。因成交供应商原因导致工程质量达不到约定的质量标准，成交供应商承担违约责任。</w:t>
            </w:r>
          </w:p>
          <w:p>
            <w:pPr>
              <w:pStyle w:val="null3"/>
              <w:ind w:firstLine="560"/>
            </w:pPr>
            <w:r>
              <w:rPr>
                <w:rFonts w:ascii="仿宋_GB2312" w:hAnsi="仿宋_GB2312" w:cs="仿宋_GB2312" w:eastAsia="仿宋_GB2312"/>
              </w:rPr>
              <w:t>（二）成交供应商在质保期内应无偿负责所承包工程的维修和替换等工作。超出质保期收取人工及材料成本费用。</w:t>
            </w:r>
          </w:p>
          <w:p>
            <w:pPr>
              <w:pStyle w:val="null3"/>
              <w:ind w:firstLine="560"/>
            </w:pPr>
            <w:r>
              <w:rPr>
                <w:rFonts w:ascii="仿宋_GB2312" w:hAnsi="仿宋_GB2312" w:cs="仿宋_GB2312" w:eastAsia="仿宋_GB2312"/>
              </w:rPr>
              <w:t>（三）服务响应时限：7*24小时服务，提供售后服务电话（应具有：固定电话、移动电话、传真）。</w:t>
            </w:r>
          </w:p>
          <w:p>
            <w:pPr>
              <w:pStyle w:val="null3"/>
              <w:ind w:firstLine="560"/>
            </w:pPr>
            <w:r>
              <w:rPr>
                <w:rFonts w:ascii="仿宋_GB2312" w:hAnsi="仿宋_GB2312" w:cs="仿宋_GB2312" w:eastAsia="仿宋_GB2312"/>
              </w:rPr>
              <w:t>（四）维修工作时间不大于24小时，更换工作时间不大于72小时。</w:t>
            </w:r>
          </w:p>
          <w:p>
            <w:pPr>
              <w:pStyle w:val="null3"/>
              <w:ind w:firstLine="562"/>
            </w:pPr>
            <w:r>
              <w:rPr>
                <w:rFonts w:ascii="仿宋_GB2312" w:hAnsi="仿宋_GB2312" w:cs="仿宋_GB2312" w:eastAsia="仿宋_GB2312"/>
                <w:b/>
              </w:rPr>
              <w:t>四、职责要求</w:t>
            </w:r>
          </w:p>
          <w:p>
            <w:pPr>
              <w:pStyle w:val="null3"/>
              <w:ind w:firstLine="560"/>
            </w:pPr>
            <w:r>
              <w:rPr>
                <w:rFonts w:ascii="仿宋_GB2312" w:hAnsi="仿宋_GB2312" w:cs="仿宋_GB2312" w:eastAsia="仿宋_GB2312"/>
              </w:rPr>
              <w:t>（一）成交供应商全权负责现场的施工安全、保卫、夜间照明、围栏设施及场内外接口交通疏导，按照施工现场临时用电安全技术规范和现场供用电安全规范组织施工，搞好施工现场管理，如未尽到安全、管理责任，采购人可对该违约行为进行处罚。</w:t>
            </w:r>
          </w:p>
          <w:p>
            <w:pPr>
              <w:pStyle w:val="null3"/>
              <w:ind w:firstLine="560"/>
            </w:pPr>
            <w:r>
              <w:rPr>
                <w:rFonts w:ascii="仿宋_GB2312" w:hAnsi="仿宋_GB2312" w:cs="仿宋_GB2312" w:eastAsia="仿宋_GB2312"/>
              </w:rPr>
              <w:t>（二）开工后2日内提交经修改后的施工组织设计和施工总进度计划。</w:t>
            </w:r>
          </w:p>
          <w:p>
            <w:pPr>
              <w:pStyle w:val="null3"/>
              <w:ind w:firstLine="562"/>
            </w:pPr>
            <w:r>
              <w:rPr>
                <w:rFonts w:ascii="仿宋_GB2312" w:hAnsi="仿宋_GB2312" w:cs="仿宋_GB2312" w:eastAsia="仿宋_GB2312"/>
                <w:b/>
              </w:rPr>
              <w:t>五、技术要求</w:t>
            </w:r>
          </w:p>
          <w:p>
            <w:pPr>
              <w:pStyle w:val="null3"/>
              <w:ind w:firstLine="560"/>
            </w:pPr>
            <w:r>
              <w:rPr>
                <w:rFonts w:ascii="仿宋_GB2312" w:hAnsi="仿宋_GB2312" w:cs="仿宋_GB2312" w:eastAsia="仿宋_GB2312"/>
              </w:rPr>
              <w:t>（一）成交供应商应根据本工程招标范围及要求规范施工，制定工期计划，确保按期完成施工工作。</w:t>
            </w:r>
          </w:p>
          <w:p>
            <w:pPr>
              <w:pStyle w:val="null3"/>
              <w:ind w:firstLine="560"/>
            </w:pPr>
            <w:r>
              <w:rPr>
                <w:rFonts w:ascii="仿宋_GB2312" w:hAnsi="仿宋_GB2312" w:cs="仿宋_GB2312" w:eastAsia="仿宋_GB2312"/>
              </w:rPr>
              <w:t>（二）供应的材料均须达到国家环保、节能有关规范和标准的要求，一切用于本工程的材料、设备必须符合合同规定的品种、规格、质量要求。</w:t>
            </w:r>
          </w:p>
          <w:p>
            <w:pPr>
              <w:pStyle w:val="null3"/>
            </w:pPr>
            <w:r>
              <w:rPr>
                <w:rFonts w:ascii="仿宋_GB2312" w:hAnsi="仿宋_GB2312" w:cs="仿宋_GB2312" w:eastAsia="仿宋_GB2312"/>
                <w:color w:val="000000"/>
              </w:rPr>
              <w:t xml:space="preserve">    （</w:t>
            </w:r>
            <w:r>
              <w:rPr>
                <w:rFonts w:ascii="仿宋_GB2312" w:hAnsi="仿宋_GB2312" w:cs="仿宋_GB2312" w:eastAsia="仿宋_GB2312"/>
                <w:color w:val="000000"/>
              </w:rPr>
              <w:t>三</w:t>
            </w:r>
            <w:r>
              <w:rPr>
                <w:rFonts w:ascii="仿宋_GB2312" w:hAnsi="仿宋_GB2312" w:cs="仿宋_GB2312" w:eastAsia="仿宋_GB2312"/>
                <w:color w:val="000000"/>
              </w:rPr>
              <w:t>）</w:t>
            </w:r>
            <w:r>
              <w:rPr>
                <w:rFonts w:ascii="仿宋_GB2312" w:hAnsi="仿宋_GB2312" w:cs="仿宋_GB2312" w:eastAsia="仿宋_GB2312"/>
                <w:color w:val="000000"/>
              </w:rPr>
              <w:t>验收要求：工程施工完成，成交供应商进行自检验收，出现的问题限期整改。自检最终通过后，成交供应商提出最终验收申请，采购人组织相关人员进行最终验收。验收标准：执行国家、省或行业现行的工程建设质量验收标准及规范，须达到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详见技术、服务标准和要求。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详见技术、服务标准和要求。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所属行业为：建筑业（根据《中小企业划型标准规定》（工信部联企业〔2011〕300号），建筑业划分标准为“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2）因系统格式设置无法调整，合同付款支付要求以第八章“拟签订采购合同文本”中体现的内容为准。（3）成交供应商在领取成交通知书前，须向采购代理机构提供纸质版响应文件3套（一正两副），且提供的响应文件必须与在陕西省政府采购综合管理平台的项目电子化交易系统中递交的电子响应文件内容一致，纸质版响应文件必须装订成册签字盖章。（4）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供应商需在项目电子化交易系统中按要求上传财务状况报告（以下三种资料提供任意一种即可）： （1）提供2024或2025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审计报告须具有注册会计师行业统一监管平台赋予的验证码； （2）其开标前三个月内基本开户银行出具的资信证明； （3）信用担保机构出具的投标担保函。 分支机构参与投标时，须另提供总公司授权或出具总公司的有关文件或制度等能够证明总公司授权其独立开展业务的证明，但其民事责任由其总公司承担。基本资格条件中可以提供总公司或分支机构经审计的财务报告。（以上内容在响应文件中提供复印件或扫描件并进行电子签章）。</w:t>
            </w:r>
          </w:p>
        </w:tc>
        <w:tc>
          <w:tcPr>
            <w:tcW w:type="dxa" w:w="1661"/>
          </w:tcPr>
          <w:p>
            <w:pPr>
              <w:pStyle w:val="null3"/>
            </w:pPr>
            <w:r>
              <w:rPr>
                <w:rFonts w:ascii="仿宋_GB2312" w:hAnsi="仿宋_GB2312" w:cs="仿宋_GB2312" w:eastAsia="仿宋_GB2312"/>
              </w:rPr>
              <w:t>健全的财务会计制度的证明材料.docx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供应商具备建设行政主管部门颁发的市政公用工程施工总承包三级及以上资质，且具备有效的安全生产许可证。</w:t>
            </w:r>
          </w:p>
        </w:tc>
        <w:tc>
          <w:tcPr>
            <w:tcW w:type="dxa" w:w="1661"/>
          </w:tcPr>
          <w:p>
            <w:pPr>
              <w:pStyle w:val="null3"/>
            </w:pPr>
            <w:r>
              <w:rPr>
                <w:rFonts w:ascii="仿宋_GB2312" w:hAnsi="仿宋_GB2312" w:cs="仿宋_GB2312" w:eastAsia="仿宋_GB2312"/>
              </w:rPr>
              <w:t>企业资质.docx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证书等级：注册建造师二级及以上执业资格；专业：市政公用工程专业；补充说明：具备有效的安全生产考核合格证书, 且在本单位注册，无在建项目（提供承诺书）。</w:t>
            </w:r>
          </w:p>
        </w:tc>
        <w:tc>
          <w:tcPr>
            <w:tcW w:type="dxa" w:w="1661"/>
          </w:tcPr>
          <w:p>
            <w:pPr>
              <w:pStyle w:val="null3"/>
            </w:pPr>
            <w:r>
              <w:rPr>
                <w:rFonts w:ascii="仿宋_GB2312" w:hAnsi="仿宋_GB2312" w:cs="仿宋_GB2312" w:eastAsia="仿宋_GB2312"/>
              </w:rPr>
              <w:t>拟派项目经理资质和专业要求.docx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基本信息查询</w:t>
            </w:r>
          </w:p>
        </w:tc>
        <w:tc>
          <w:tcPr>
            <w:tcW w:type="dxa" w:w="3322"/>
          </w:tcPr>
          <w:p>
            <w:pPr>
              <w:pStyle w:val="null3"/>
            </w:pPr>
            <w:r>
              <w:rPr>
                <w:rFonts w:ascii="仿宋_GB2312" w:hAnsi="仿宋_GB2312" w:cs="仿宋_GB2312" w:eastAsia="仿宋_GB2312"/>
              </w:rPr>
              <w:t>供应商基本信息及项目经理的基本信息在“全国建筑市场监管公共服务平台”可查询且无不良记录（提供网页截图）。</w:t>
            </w:r>
          </w:p>
        </w:tc>
        <w:tc>
          <w:tcPr>
            <w:tcW w:type="dxa" w:w="1661"/>
          </w:tcPr>
          <w:p>
            <w:pPr>
              <w:pStyle w:val="null3"/>
            </w:pPr>
            <w:r>
              <w:rPr>
                <w:rFonts w:ascii="仿宋_GB2312" w:hAnsi="仿宋_GB2312" w:cs="仿宋_GB2312" w:eastAsia="仿宋_GB2312"/>
              </w:rPr>
              <w:t>基本信息查询.docx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tc>
        <w:tc>
          <w:tcPr>
            <w:tcW w:type="dxa" w:w="1661"/>
          </w:tcPr>
          <w:p>
            <w:pPr>
              <w:pStyle w:val="null3"/>
            </w:pPr>
            <w:r>
              <w:rPr>
                <w:rFonts w:ascii="仿宋_GB2312" w:hAnsi="仿宋_GB2312" w:cs="仿宋_GB2312" w:eastAsia="仿宋_GB2312"/>
              </w:rPr>
              <w:t>依法缴纳税收和社会保障资金.docx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履行本合同所必需的设备和专业技术能力.docx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无重大违法记录书面声明.docx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与所投项目名称、项目编号一致，符合磋商文件签署盖章要求。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内容至少包括①施工准备（方案概述、改造思路及系统图纸的结构、原理、布局等）；②施工方法及针对本项目的合理化建议；③重点、难点工程分析及解决措施；④影响正常施工外在因素分析及对应预案等。 评审标准：总体施工方案各部分内容全面详细、阐述条理清晰详尽、符合本项目采购需求得16分，每缺一项内容扣4分，评审内容有瑕疵的根据情况扣分，扣完为止。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施工方案响应说明.docx</w:t>
            </w:r>
          </w:p>
        </w:tc>
      </w:tr>
      <w:tr>
        <w:tc>
          <w:tcPr>
            <w:tcW w:type="dxa" w:w="831"/>
            <w:vMerge/>
          </w:tcPr>
          <w:p/>
        </w:tc>
        <w:tc>
          <w:tcPr>
            <w:tcW w:type="dxa" w:w="1661"/>
          </w:tcPr>
          <w:p>
            <w:pPr>
              <w:pStyle w:val="null3"/>
            </w:pPr>
            <w:r>
              <w:rPr>
                <w:rFonts w:ascii="仿宋_GB2312" w:hAnsi="仿宋_GB2312" w:cs="仿宋_GB2312" w:eastAsia="仿宋_GB2312"/>
              </w:rPr>
              <w:t>工程质量及安全生产措施</w:t>
            </w:r>
          </w:p>
        </w:tc>
        <w:tc>
          <w:tcPr>
            <w:tcW w:type="dxa" w:w="2492"/>
          </w:tcPr>
          <w:p>
            <w:pPr>
              <w:pStyle w:val="null3"/>
            </w:pPr>
            <w:r>
              <w:rPr>
                <w:rFonts w:ascii="仿宋_GB2312" w:hAnsi="仿宋_GB2312" w:cs="仿宋_GB2312" w:eastAsia="仿宋_GB2312"/>
              </w:rPr>
              <w:t>内容至少包括①工程质量保障方案及安全生产管理制度；②材料和构配件的质量控制；③安全隐患排查、整改制度；④应急救援机制等。 评审标准：工程质量及安全生产措施各部分内容全面详细、阐述条理清晰详尽、符合本项目采购需求得8分，每缺一项内容扣2分，评审内容有瑕疵的根据情况扣分，扣完为止。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施工方案响应说明.docx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内容至少包括①文明施工及环境保护管理制度；②防尘降噪措施；③节能减排措施；④文明施工及环境保护施工监督检查机制等。 评审标准：文明施工及环境保护措施各部分内容全面详细、阐述条理清晰详尽、符合本项目采购需求得8分，每缺一项内容扣2分，评审内容有瑕疵的根据情况扣分，扣完为止。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施工方案响应说明.docx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内容至少包括①项目组织机构图；②团队人员配置清单及各岗位安排及职责（配备施工员、安全员、资料员、材料员、质量员）；③团队人员管理制度（人员管理，任务分派，团队监督机制等）等。 评审标准：项目组织机构各部分内容全面详细、阐述条理清晰详尽、符合本项目采购需求得6分，每缺一项内容扣2分，评审内容有瑕疵的根据情况扣分，扣完为止。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施工方案响应说明.docx</w:t>
            </w:r>
          </w:p>
        </w:tc>
      </w:tr>
      <w:tr>
        <w:tc>
          <w:tcPr>
            <w:tcW w:type="dxa" w:w="831"/>
            <w:vMerge/>
          </w:tcPr>
          <w:p/>
        </w:tc>
        <w:tc>
          <w:tcPr>
            <w:tcW w:type="dxa" w:w="1661"/>
          </w:tcPr>
          <w:p>
            <w:pPr>
              <w:pStyle w:val="null3"/>
            </w:pPr>
            <w:r>
              <w:rPr>
                <w:rFonts w:ascii="仿宋_GB2312" w:hAnsi="仿宋_GB2312" w:cs="仿宋_GB2312" w:eastAsia="仿宋_GB2312"/>
              </w:rPr>
              <w:t>施工部署与进度计划</w:t>
            </w:r>
          </w:p>
        </w:tc>
        <w:tc>
          <w:tcPr>
            <w:tcW w:type="dxa" w:w="2492"/>
          </w:tcPr>
          <w:p>
            <w:pPr>
              <w:pStyle w:val="null3"/>
            </w:pPr>
            <w:r>
              <w:rPr>
                <w:rFonts w:ascii="仿宋_GB2312" w:hAnsi="仿宋_GB2312" w:cs="仿宋_GB2312" w:eastAsia="仿宋_GB2312"/>
              </w:rPr>
              <w:t>内容至少包括①进度安排计划（提供横道图或网络图）；②工期目标控制和保证措施；③材料供应措施；④成品、半成品保护监管措施等。 评审标准：施工部署与进度计划各部分内容全面详细、阐述条理清晰详尽、符合本项目采购需求得8分，每缺一项内容扣2分，评审内容有瑕疵的根据情况扣分，扣完为止。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施工方案响应说明.docx</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内容至少包括①施工机械配置计划；②施工材料投入计划；③施工机械的维护保养和材料的贮存；④施工机械、材料的监督和检查等。 评审标准：施工机械配置和材料投入计划各部分内容全面详细、阐述条理清晰详尽、符合本项目采购需求得8分，每缺一项内容扣2分，评审内容有瑕疵的根据情况扣分，扣完为止。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施工方案响应说明.docx</w:t>
            </w:r>
          </w:p>
        </w:tc>
      </w:tr>
      <w:tr>
        <w:tc>
          <w:tcPr>
            <w:tcW w:type="dxa" w:w="831"/>
            <w:vMerge/>
          </w:tcPr>
          <w:p/>
        </w:tc>
        <w:tc>
          <w:tcPr>
            <w:tcW w:type="dxa" w:w="1661"/>
          </w:tcPr>
          <w:p>
            <w:pPr>
              <w:pStyle w:val="null3"/>
            </w:pPr>
            <w:r>
              <w:rPr>
                <w:rFonts w:ascii="仿宋_GB2312" w:hAnsi="仿宋_GB2312" w:cs="仿宋_GB2312" w:eastAsia="仿宋_GB2312"/>
              </w:rPr>
              <w:t>设备质量及售后服务方案</w:t>
            </w:r>
          </w:p>
        </w:tc>
        <w:tc>
          <w:tcPr>
            <w:tcW w:type="dxa" w:w="2492"/>
          </w:tcPr>
          <w:p>
            <w:pPr>
              <w:pStyle w:val="null3"/>
            </w:pPr>
            <w:r>
              <w:rPr>
                <w:rFonts w:ascii="仿宋_GB2312" w:hAnsi="仿宋_GB2312" w:cs="仿宋_GB2312" w:eastAsia="仿宋_GB2312"/>
              </w:rPr>
              <w:t>内容至少包括①出现故障的响应时间、解决故障时间、补救措施等；②拟投入售后服务人员的配备情况；③产品的保修时间、保修期内的保修内容与范围等。 评审标准：设备质量及售后服务方案各部分内容全面详细、阐述条理清晰详尽、符合本项目采购需求得6分，每缺一项内容扣2分，评审内容有瑕疵的根据情况扣分，扣完为止。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施工方案响应说明.docx</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供应商提供2023年04月01日至今（以合同签订时间为准）的类似项目业绩，每提供一份得2分，满分10分。 注：响应文件中提供合同复印件加盖供应商公章。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满足磋商文件要求且最后报价最低的价格为评审基准价，其价格分为满分。其他供应商的价格分统一按照下列公式计算：最后报价得分=(评审基准价／最后报价)×价格权值×100。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详见附件：健全的财务会计制度的证明材料.docx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详见附件：企业资质.docx</w:t>
      </w:r>
    </w:p>
    <w:p>
      <w:pPr>
        <w:pStyle w:val="null3"/>
        <w:ind w:firstLine="960"/>
      </w:pPr>
      <w:r>
        <w:rPr>
          <w:rFonts w:ascii="仿宋_GB2312" w:hAnsi="仿宋_GB2312" w:cs="仿宋_GB2312" w:eastAsia="仿宋_GB2312"/>
        </w:rPr>
        <w:t>详见附件：拟派项目经理资质和专业要求.docx</w:t>
      </w:r>
    </w:p>
    <w:p>
      <w:pPr>
        <w:pStyle w:val="null3"/>
        <w:ind w:firstLine="960"/>
      </w:pPr>
      <w:r>
        <w:rPr>
          <w:rFonts w:ascii="仿宋_GB2312" w:hAnsi="仿宋_GB2312" w:cs="仿宋_GB2312" w:eastAsia="仿宋_GB2312"/>
        </w:rPr>
        <w:t>详见附件：基本信息查询.docx</w:t>
      </w:r>
    </w:p>
    <w:p>
      <w:pPr>
        <w:pStyle w:val="null3"/>
        <w:ind w:firstLine="960"/>
      </w:pPr>
      <w:r>
        <w:rPr>
          <w:rFonts w:ascii="仿宋_GB2312" w:hAnsi="仿宋_GB2312" w:cs="仿宋_GB2312" w:eastAsia="仿宋_GB2312"/>
        </w:rPr>
        <w:t>详见附件：依法缴纳税收和社会保障资金.docx</w:t>
      </w:r>
    </w:p>
    <w:p>
      <w:pPr>
        <w:pStyle w:val="null3"/>
        <w:ind w:firstLine="960"/>
      </w:pPr>
      <w:r>
        <w:rPr>
          <w:rFonts w:ascii="仿宋_GB2312" w:hAnsi="仿宋_GB2312" w:cs="仿宋_GB2312" w:eastAsia="仿宋_GB2312"/>
        </w:rPr>
        <w:t>详见附件：履行本合同所必需的设备和专业技术能力.docx</w:t>
      </w:r>
    </w:p>
    <w:p>
      <w:pPr>
        <w:pStyle w:val="null3"/>
        <w:ind w:firstLine="960"/>
      </w:pPr>
      <w:r>
        <w:rPr>
          <w:rFonts w:ascii="仿宋_GB2312" w:hAnsi="仿宋_GB2312" w:cs="仿宋_GB2312" w:eastAsia="仿宋_GB2312"/>
        </w:rPr>
        <w:t>详见附件：无重大违法记录书面声明.docx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详见附件：施工方案响应说明.docx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