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版本号：SXBX-ZFCG-202602820260903002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洋县槐树关镇易地搬迁安置点基础设施提升项目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SXBX-ZFCG-2026028</w:t>
      </w:r>
      <w:r>
        <w:br/>
      </w:r>
      <w:r>
        <w:br/>
      </w:r>
      <w:r>
        <w:br/>
      </w:r>
    </w:p>
    <w:p>
      <w:pPr>
        <w:pStyle w:val="null3"/>
        <w:jc w:val="center"/>
        <w:outlineLvl w:val="2"/>
      </w:pPr>
      <w:r>
        <w:rPr>
          <w:rFonts w:ascii="仿宋_GB2312" w:hAnsi="仿宋_GB2312" w:cs="仿宋_GB2312" w:eastAsia="仿宋_GB2312"/>
          <w:sz w:val="28"/>
          <w:b/>
        </w:rPr>
        <w:t>洋县槐树关镇人民政府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洋县槐树关镇人民政府</w:t>
      </w:r>
      <w:r>
        <w:rPr>
          <w:rFonts w:ascii="仿宋_GB2312" w:hAnsi="仿宋_GB2312" w:cs="仿宋_GB2312" w:eastAsia="仿宋_GB2312"/>
        </w:rPr>
        <w:t>委托，拟对</w:t>
      </w:r>
      <w:r>
        <w:rPr>
          <w:rFonts w:ascii="仿宋_GB2312" w:hAnsi="仿宋_GB2312" w:cs="仿宋_GB2312" w:eastAsia="仿宋_GB2312"/>
        </w:rPr>
        <w:t>洋县槐树关镇易地搬迁安置点基础设施提升项目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洋县槐树关镇易地搬迁安置点基础设施提升项目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槐树关镇易地搬迁安置点基础设施提升项目，拟对槐树关镇北沟安置点、高桥村安置点、阳河安置点、二合村安置点、罗曲安置点进行基础设施提升改造。具体内容为：(1)北沟村安置点:铺设PE50主管80米、PE32支管60米、PE25支管40米;铺设DN500HDPE污水管道80米、DN300HDPE污水管道40米;安装DE50水表1只、DE32水表24只、立式多级离心泵1台、XL-21配电箱1台、液位控制器1套、压力传感器1个、安全阀1个、2.5m³自动上水器1台、PE闸阀8个、止回阀1个、Y型过滤器1个;配备PE弯头、直接、三通管件40套;砌筑阀门水表井8座、φ1000检查井6座;新建11#化粪池1座、钢结构四分类垃圾亭1座，浇筑混凝土设备基座5㎡，以及相关附属工程。 (2)高桥村安置点:铺设PE63主管120米、PE32支管40米、PE25支管40米;铺设DN500HDPE污水管道140米、DN300HDPE污水管道80米;安装DE63水表1只、DE32水表39只、立式多级离心泵1台、XL-21配电箱1台、液位控制器1套、压力传感器1个、安全阀1个、5.0m³自动上水器1台、PE闸阀8个、止回阀1个、Y型过滤器1个;配备PE弯头、直接、三通管件40套;砌筑阀门水表井10座、φ1000检查井8座;新建14#化粪池1座、钢结构四分类垃圾亭2座，浇筑混凝土设备基座6㎡，以及相关附属工程。 (3)阳河村安置点:铺设PE63主管100米、PE32支管60米、PE25支管40米;铺设DN500HDPE污水管道100米、DN300HDPE污水管道60米;安装DE63水表1只、DE32水表31只、立式多级离心泵1台、XL-2配电箱1台、液位控制器1套、压力传感器1个、安全阀1个、4.5m³无塔自动上水器1台、PE闸阀6个、止回阀1个、Y型过滤器1个;配备PE弯头、直接、三通管件40套;砌筑阀门水表井11座、φ1000检查井10座;新建14#化粪池1座、钢结构四分类垃圾亭1座，浇筑混凝土设备基座6㎡，以及相关附属工程。 (4)二合安置点:铺设PE75主管200米、PE32支管120米、PE25支管80米;铺设DN500HDPE水管道220米、DN300HDPE污水管道80米;安装DE75水表1只、DE32水表98只、离心泵1台、XL-21配电箱1台、液位控制器1套、压力传感器1个、安全阀1个、12m³上水器1台、PE闸阀12个、止回阀1个、Y型过滤器1个;配备PE弯头、直接、三通管件60套;砌筑水表井42座、φ1000检查井36座;新建14#和13#化粪池各1座(合计2座)、钢结构四分类垃圾亭3座，浇筑混凝土设备基座10㎡，以及相关附属工程。 (5)罗曲村安置点:铺设PE50主管100米、PE32支管60米、PE25支管40米;铺设DN500HDPE污水管道80米、DN300HDPE污水管道60米;安装DE50水表1只、DE32水表30只、离心泵1台、XL-21配电箱1台、液位控制器1套、压力传感器1个、安全阀1个、4m³自动上水器1台、PE闸阀8个、止回阀1个、Y型过滤器1个;配备PE弯头、直接、三通管件40套;砌筑水表井12座、φ1000检查井10座;新建13#化粪池1座、钢结构四分类垃圾亭1座，浇筑混凝土设备基座6㎡，以及相关附属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采购包1（洋县槐树关镇易地搬迁安置点基础设施提升项目）：属于专门面向中小企业采购。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3、企业资质：供应商应具备建设行政主管部门核发的市政公用工程施工总承包三级（含三级）及其以上资质，且具有有效的安全生产许可证；</w:t>
      </w:r>
    </w:p>
    <w:p>
      <w:pPr>
        <w:pStyle w:val="null3"/>
      </w:pPr>
      <w:r>
        <w:rPr>
          <w:rFonts w:ascii="仿宋_GB2312" w:hAnsi="仿宋_GB2312" w:cs="仿宋_GB2312" w:eastAsia="仿宋_GB2312"/>
        </w:rPr>
        <w:t>4、项目负责人资质：拟派项目负责人应具备市政公用工程专业二级（含二级）及以上注册建造师资格、具有有效的安全考核合格证（建安B证），无在建工程；</w:t>
      </w:r>
    </w:p>
    <w:p>
      <w:pPr>
        <w:pStyle w:val="null3"/>
      </w:pPr>
      <w:r>
        <w:rPr>
          <w:rFonts w:ascii="仿宋_GB2312" w:hAnsi="仿宋_GB2312" w:cs="仿宋_GB2312" w:eastAsia="仿宋_GB2312"/>
        </w:rPr>
        <w:t>5、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6、无关联关系：单位负责人为同一人或者存在控股、管理关系的不同单位不得同时参加，需提供书面声明；</w:t>
      </w:r>
    </w:p>
    <w:p>
      <w:pPr>
        <w:pStyle w:val="null3"/>
      </w:pPr>
      <w:r>
        <w:rPr>
          <w:rFonts w:ascii="仿宋_GB2312" w:hAnsi="仿宋_GB2312" w:cs="仿宋_GB2312" w:eastAsia="仿宋_GB2312"/>
        </w:rPr>
        <w:t>7、非联合体声明：本项目不接受联合体投标，供应商需提供非联合体书面声明。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洋县槐树关镇人民政府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洋县槐树关镇槐树关村五组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槐树关镇经办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0916-8412308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陕西省汉中市洋县北二环云江月酒店向东30米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采购包1：2,953,300.00元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洋县槐树关镇人民政府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洋县槐树关镇人民政府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洋县槐树关镇人民政府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验收的⼯程，必须符合规定的⼯程质量标准，有完整的⼯程技术经济资料和经签著的⼯程保修书，并具备国家规定的其他竣⼯条件。⼯程竣⼯经验收合格后，⽅可交付使⽤；未经验收或者验收不合格的，不得交付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联系人：樊女士</w:t>
      </w:r>
    </w:p>
    <w:p>
      <w:pPr>
        <w:pStyle w:val="null3"/>
      </w:pPr>
      <w:r>
        <w:rPr>
          <w:rFonts w:ascii="仿宋_GB2312" w:hAnsi="仿宋_GB2312" w:cs="仿宋_GB2312" w:eastAsia="仿宋_GB2312"/>
        </w:rPr>
        <w:t>联系电话：18091650179</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2,953,300.00</w:t>
      </w:r>
    </w:p>
    <w:p>
      <w:pPr>
        <w:pStyle w:val="null3"/>
      </w:pPr>
      <w:r>
        <w:rPr>
          <w:rFonts w:ascii="仿宋_GB2312" w:hAnsi="仿宋_GB2312" w:cs="仿宋_GB2312" w:eastAsia="仿宋_GB2312"/>
        </w:rPr>
        <w:t>采购包最高限价（元）: 2,785,210.79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洋县槐树关镇易地搬迁安置点基础设施提升项目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2,953,300.00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标的名称：洋县槐树关镇易地搬迁安置点基础设施提升项目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施工范围：工程量清单内所含的全部内容；</w:t>
            </w:r>
          </w:p>
          <w:p>
            <w:pPr>
              <w:pStyle w:val="null3"/>
            </w:pPr>
            <w:r>
              <w:rPr>
                <w:rFonts w:ascii="仿宋_GB2312" w:hAnsi="仿宋_GB2312" w:cs="仿宋_GB2312" w:eastAsia="仿宋_GB2312"/>
                <w:sz w:val="21"/>
              </w:rPr>
              <w:t>二、工期：120日历天；</w:t>
            </w:r>
          </w:p>
          <w:p>
            <w:pPr>
              <w:pStyle w:val="null3"/>
            </w:pPr>
            <w:r>
              <w:rPr>
                <w:rFonts w:ascii="仿宋_GB2312" w:hAnsi="仿宋_GB2312" w:cs="仿宋_GB2312" w:eastAsia="仿宋_GB2312"/>
                <w:sz w:val="21"/>
              </w:rPr>
              <w:t>三、</w:t>
            </w:r>
            <w:r>
              <w:rPr>
                <w:rFonts w:ascii="仿宋_GB2312" w:hAnsi="仿宋_GB2312" w:cs="仿宋_GB2312" w:eastAsia="仿宋_GB2312"/>
                <w:sz w:val="21"/>
              </w:rPr>
              <w:t>质量标准：工程质量达到国家验收合格标准；</w:t>
            </w:r>
          </w:p>
          <w:p>
            <w:pPr>
              <w:pStyle w:val="null3"/>
            </w:pPr>
            <w:r>
              <w:rPr>
                <w:rFonts w:ascii="仿宋_GB2312" w:hAnsi="仿宋_GB2312" w:cs="仿宋_GB2312" w:eastAsia="仿宋_GB2312"/>
                <w:sz w:val="21"/>
              </w:rPr>
              <w:t>四、</w:t>
            </w:r>
            <w:r>
              <w:rPr>
                <w:rFonts w:ascii="仿宋_GB2312" w:hAnsi="仿宋_GB2312" w:cs="仿宋_GB2312" w:eastAsia="仿宋_GB2312"/>
                <w:sz w:val="21"/>
              </w:rPr>
              <w:t>质保期：</w:t>
            </w:r>
            <w:r>
              <w:rPr>
                <w:rFonts w:ascii="仿宋_GB2312" w:hAnsi="仿宋_GB2312" w:cs="仿宋_GB2312" w:eastAsia="仿宋_GB2312"/>
                <w:sz w:val="21"/>
              </w:rPr>
              <w:t>自项目竣工验收合格之日起，不少于 12 个月。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2、供应商根据项目实施要求对磋商文件第六章相关评审办法进行响应（具体内容详见项目评审办法）。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供应商应具备建设行政主管部门核发的市政公用工程施工总承包三级（含三级）及其以上资质，且具有有效的安全生产许可证；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拟派项目负责人应具备市政公用工程专业二级（含二级）及以上注册建造师资格、具有有效的安全考核合格证（建安B证），无在建工程；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（1）报价唯一：不得提交选择性报价， 报价符合磋商⽂件的要求；（2）响应文件签字、盖章及投标（响应）有效期符合磋商文件要求。</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响应文件封面 技术方案.docx 已标价工程量清单 供应商应提交的相关资格证明材料.docx 项目管理机构组成表 中小企业声明函 残疾人福利性单位声明函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一、评审内容：针对本项目施工内容制定施工方案，包括①项目实施整体思路；②施工方案。二、赋分标准： 1.完整性：对上述各项内容均有描述，得1分；缺1项得0.5分；无此项不得分。 2.针对性：上述各项内容针对性明确，每项内容得2.5分；针对性较明确，每项内容得1.5分；缺乏针对性，每项内容得1分。不提供不得分。3.可实施性：上述各项内容可实施性合理，每项内容得3分；可实施性较合理，每项内容得2分；缺乏可实施性，每项内容得1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针对本项目制定科学完善的项目管理机构方案，包括①项目成员配置清单及架构；②组织管理机制：有详细的人员进场计划、岗位职责说明书及履职考核机制。二、赋分标准：1.完整性：对上述各项内容均有描述，人员配备全面，得1分；每缺1项扣0.5分，扣完为止。不提供不得分。2.针对性：上述各项内容针对性明确，能够紧扣项目实际情况，内容科学合理，每项内容得1分；缺乏针对性，每项内容得0.5分。不提供不得分。3.可实施性：上述各项内容可实施性合理，人员专业切合项目实际情况，管理机制清晰、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项目质量保证管理制度；②项目质量保证管理措施。二、赋分标准：1.完整性：对上述各项内容均有描述，得1分；每缺1项扣0.5分，扣完为止。不提供不得分。2.针对性：上述各项内容针对性明确，每项内容得1分；缺乏针对性，每项内容得0.5分；不提供不得分。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 针对本项目制定安全施工管理制度及措施，内容包含：①安全生产管理、培训制度；②安全施工技术保证措施；二、赋分标准：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一、评审内容：针对本项目制定工期进度的技术保证措施，包括①工期控制的技术组织措施；②施工工期进度安排。 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一、评审内容：针对本项目制定文明施工和环境保护的技术组织措施，包括①降低环境污染、节约能源等相关的制度；②针对环保、扬尘治理、降噪、固废处置、污水排放的技术组织措施。 二、赋分标准：1.完整性：对上述各项内容均有描述，得1分；每缺1项扣0.5分，扣完为止；不提供不得分。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②施工机械设备投入计划； ③主要施工材料供应计划。 二、评审标准：完整性：全覆盖劳动力、施工机械、主材供应三大配置计划；可实施性：配置数量、进场时间、调配计划合理，满足施工进度需求；针对性：完全匹配本项目施工工期、施工体量、施工工艺需求。 三、赋分标准（满分9分，针对每条评审标准，如存在不合理的方面每处扣0.5分，扣完为止）：1. 劳动力资源配置计划（3分）：根据施工进度、施工工序制定分阶段劳动力配置计划，人员数量、工种配置合理，进场退场时间明确，满足三项核心标准得3分；工种缺失、人数不匹配、无阶段调配、计划笼统，每处瑕疵扣0.5分，扣完为止。2. 施工机械设备投入计划（3分）：匹配施工工艺及进度，明确机械型号、数量、进场时间，维保管控计划，设备配置充足、适配项目施工，满足三项核心标准得3分；机械配置不足、型号不匹配、无进场计划、无管控措施，每处瑕疵扣0.5分，扣完为止。3. 主要施工材料供应计划（3分）：明确主材采购、进场、检验、存放、供应计划，匹配施工进度，保障施工连续性，满足三项核心标准得3分；材料计划缺失、进场时间混乱、无质量管控、供应无保障，每处瑕疵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一、评审内容：供应商需针对本项目要求总工期120日历天，作出工期履约承诺。二、赋分标准：1.书面承诺总工期满足采购文件要求，且提供逻辑完整、工期匹配120日历天的工程施工进度图，得3分；2.仅书面承诺总工期满足要求，未提供施工进度图，得1分；3.未作出工期承诺、承诺工期大于120日历天，或提供进度图工期不符合工期要求，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工程保修服务承诺</w:t>
            </w:r>
          </w:p>
        </w:tc>
        <w:tc>
          <w:tcPr>
            <w:tcW w:type="dxa" w:w="2492"/>
          </w:tcPr>
          <w:p>
            <w:pPr>
              <w:pStyle w:val="null3"/>
            </w:pPr>
            <w:r>
              <w:rPr>
                <w:rFonts w:ascii="仿宋_GB2312" w:hAnsi="仿宋_GB2312" w:cs="仿宋_GB2312" w:eastAsia="仿宋_GB2312"/>
              </w:rPr>
              <w:t>一、评审内容：针对本项目供应商应提供全面、合理的保修承诺。二、赋分标准： ①质保期延长：较法定质保延长2年得4分，延长1年得2分，不延迟不得分；②应急抢修：3小时内到现场抢修得2分，4小时内到现场得1分，未明确时效不得分；③增值服务：每年2次巡检+免费养护培训，两项齐全得2分，缺一项扣1分。评审要求：全部承诺需加盖公章，无明确量化数字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项目部技术人员证书</w:t>
            </w:r>
          </w:p>
        </w:tc>
        <w:tc>
          <w:tcPr>
            <w:tcW w:type="dxa" w:w="2492"/>
          </w:tcPr>
          <w:p>
            <w:pPr>
              <w:pStyle w:val="null3"/>
            </w:pPr>
            <w:r>
              <w:rPr>
                <w:rFonts w:ascii="仿宋_GB2312" w:hAnsi="仿宋_GB2312" w:cs="仿宋_GB2312" w:eastAsia="仿宋_GB2312"/>
              </w:rPr>
              <w:t>一、评审内容：针对本项目，需配备相关专业技术人员。二、赋分标准：1.供应商拟投入本项目的项目部技术人员中，每提供1名具备与本项目相关专业高级专业技术职称证书的人员，得1分，本项最高得2分；2.每提供1名具备与本项目相关专业中级专业技术职称证书的人员，得0.5分，本项最高得2分；3.上述人员须提供有效的职称证书扫描件，否则不得分；4.同一人员不得同时按高级职称、中级职称重复计分；5.未按要求提供相关证明材料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签订合同时间为准）至今，已完成的类似项目业绩，每提供一个合格业绩得2分，满分4分。未提供此项内容不得分。注：业绩以中标（成交）通知书、合同协议书及竣工验收资料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