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22F2F6">
      <w:pPr>
        <w:pStyle w:val="2"/>
        <w:keepNext w:val="0"/>
        <w:keepLines w:val="0"/>
        <w:shd w:val="clear" w:color="auto" w:fill="auto"/>
        <w:jc w:val="center"/>
        <w:outlineLvl w:val="1"/>
        <w:rPr>
          <w:rFonts w:hint="eastAsia" w:ascii="宋体" w:hAnsi="宋体" w:eastAsia="宋体" w:cs="宋体"/>
          <w:highlight w:val="none"/>
        </w:rPr>
      </w:pPr>
      <w:bookmarkStart w:id="0" w:name="_Toc21654"/>
      <w:bookmarkStart w:id="1" w:name="_Toc12244"/>
      <w:r>
        <w:rPr>
          <w:rFonts w:hint="eastAsia" w:ascii="宋体" w:hAnsi="宋体" w:eastAsia="宋体" w:cs="宋体"/>
          <w:sz w:val="32"/>
          <w:szCs w:val="32"/>
          <w:highlight w:val="none"/>
        </w:rPr>
        <w:t>合同范本（仅供参考）</w:t>
      </w:r>
      <w:bookmarkEnd w:id="0"/>
      <w:bookmarkEnd w:id="1"/>
    </w:p>
    <w:p w14:paraId="4DA71F9A">
      <w:pPr>
        <w:shd w:val="clear" w:color="auto" w:fill="auto"/>
        <w:spacing w:line="360" w:lineRule="auto"/>
        <w:jc w:val="center"/>
        <w:rPr>
          <w:rFonts w:hint="eastAsia" w:ascii="宋体" w:hAnsi="宋体" w:eastAsia="宋体" w:cs="宋体"/>
          <w:b/>
          <w:sz w:val="24"/>
          <w:highlight w:val="none"/>
        </w:rPr>
      </w:pPr>
      <w:r>
        <w:rPr>
          <w:rFonts w:hint="eastAsia" w:ascii="宋体" w:hAnsi="宋体" w:eastAsia="宋体" w:cs="宋体"/>
          <w:b/>
          <w:sz w:val="24"/>
          <w:highlight w:val="none"/>
        </w:rPr>
        <w:t>政府采购合同</w:t>
      </w:r>
    </w:p>
    <w:p w14:paraId="776B38E7">
      <w:pPr>
        <w:spacing w:line="360" w:lineRule="auto"/>
        <w:ind w:firstLine="480" w:firstLineChars="200"/>
        <w:rPr>
          <w:rFonts w:hint="eastAsia" w:ascii="仿宋" w:hAnsi="仿宋" w:eastAsia="仿宋" w:cs="仿宋"/>
          <w:sz w:val="24"/>
          <w:szCs w:val="24"/>
          <w:highlight w:val="none"/>
          <w:lang w:val="zh-CN"/>
        </w:rPr>
      </w:pP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zh-CN"/>
        </w:rPr>
        <w:t>，在西安市三民村垃圾处理中转站(以下简 称甲方)的监督管理下，由</w:t>
      </w:r>
      <w:r>
        <w:rPr>
          <w:rFonts w:hint="eastAsia" w:ascii="仿宋" w:hAnsi="仿宋" w:eastAsia="仿宋" w:cs="仿宋"/>
          <w:sz w:val="24"/>
          <w:szCs w:val="24"/>
          <w:highlight w:val="none"/>
          <w:u w:val="single"/>
          <w:lang w:val="zh-CN"/>
        </w:rPr>
        <w:t>陕西华璟项目管理有限公司</w:t>
      </w:r>
      <w:r>
        <w:rPr>
          <w:rFonts w:hint="eastAsia" w:ascii="仿宋" w:hAnsi="仿宋" w:eastAsia="仿宋" w:cs="仿宋"/>
          <w:sz w:val="24"/>
          <w:szCs w:val="24"/>
          <w:highlight w:val="none"/>
          <w:lang w:val="zh-CN"/>
        </w:rPr>
        <w:t>组织采购，选定</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zh-CN"/>
        </w:rPr>
        <w:t>(以下简称乙方)为该项目成交供应商。依据《</w:t>
      </w:r>
      <w:r>
        <w:rPr>
          <w:rFonts w:hint="eastAsia" w:ascii="仿宋" w:hAnsi="仿宋" w:eastAsia="仿宋" w:cs="仿宋"/>
          <w:sz w:val="24"/>
          <w:szCs w:val="24"/>
          <w:highlight w:val="none"/>
          <w:lang w:val="zh-CN" w:eastAsia="zh-CN"/>
        </w:rPr>
        <w:t>中华人民共和国民法典</w:t>
      </w:r>
      <w:r>
        <w:rPr>
          <w:rFonts w:hint="eastAsia" w:ascii="仿宋" w:hAnsi="仿宋" w:eastAsia="仿宋" w:cs="仿宋"/>
          <w:sz w:val="24"/>
          <w:szCs w:val="24"/>
          <w:highlight w:val="none"/>
          <w:lang w:val="zh-CN"/>
        </w:rPr>
        <w:t>》和《中华人民共和国政府采购法》,经甲.乙双方</w:t>
      </w:r>
      <w:r>
        <w:rPr>
          <w:rFonts w:hint="eastAsia" w:ascii="仿宋" w:hAnsi="仿宋" w:eastAsia="仿宋" w:cs="仿宋"/>
          <w:sz w:val="24"/>
          <w:szCs w:val="24"/>
          <w:highlight w:val="none"/>
          <w:lang w:val="zh-CN" w:eastAsia="zh-CN"/>
        </w:rPr>
        <w:t>协商</w:t>
      </w:r>
      <w:r>
        <w:rPr>
          <w:rFonts w:hint="eastAsia" w:ascii="仿宋" w:hAnsi="仿宋" w:eastAsia="仿宋" w:cs="仿宋"/>
          <w:sz w:val="24"/>
          <w:szCs w:val="24"/>
          <w:highlight w:val="none"/>
          <w:lang w:val="zh-CN"/>
        </w:rPr>
        <w:t>，按下述条款和条件签署本合同。</w:t>
      </w:r>
    </w:p>
    <w:p w14:paraId="5C22CB32">
      <w:pPr>
        <w:pStyle w:val="4"/>
        <w:spacing w:before="211" w:line="219" w:lineRule="auto"/>
        <w:ind w:left="38"/>
        <w:outlineLvl w:val="3"/>
        <w:rPr>
          <w:rFonts w:hint="eastAsia" w:ascii="仿宋" w:hAnsi="仿宋" w:eastAsia="仿宋" w:cs="仿宋"/>
          <w:kern w:val="2"/>
          <w:sz w:val="24"/>
          <w:szCs w:val="24"/>
          <w:highlight w:val="none"/>
          <w:lang w:val="zh-CN" w:eastAsia="zh-CN" w:bidi="ar-SA"/>
        </w:rPr>
      </w:pPr>
      <w:r>
        <w:rPr>
          <w:rFonts w:hint="eastAsia" w:ascii="仿宋" w:hAnsi="仿宋" w:eastAsia="仿宋" w:cs="仿宋"/>
          <w:kern w:val="2"/>
          <w:sz w:val="24"/>
          <w:szCs w:val="24"/>
          <w:highlight w:val="none"/>
          <w:lang w:val="zh-CN" w:eastAsia="zh-CN" w:bidi="ar-SA"/>
        </w:rPr>
        <w:t>一.项目概况</w:t>
      </w:r>
    </w:p>
    <w:p w14:paraId="6170D054">
      <w:pPr>
        <w:pStyle w:val="4"/>
        <w:spacing w:before="71" w:line="219" w:lineRule="auto"/>
        <w:ind w:left="495"/>
        <w:rPr>
          <w:rFonts w:hint="default" w:ascii="仿宋" w:hAnsi="仿宋" w:eastAsia="仿宋" w:cs="仿宋"/>
          <w:kern w:val="2"/>
          <w:sz w:val="24"/>
          <w:szCs w:val="24"/>
          <w:highlight w:val="none"/>
          <w:u w:val="single"/>
          <w:lang w:val="en-US" w:eastAsia="zh-CN" w:bidi="ar-SA"/>
        </w:rPr>
      </w:pPr>
      <w:r>
        <w:rPr>
          <w:rFonts w:hint="eastAsia" w:ascii="仿宋" w:hAnsi="仿宋" w:eastAsia="仿宋" w:cs="仿宋"/>
          <w:kern w:val="2"/>
          <w:sz w:val="24"/>
          <w:szCs w:val="24"/>
          <w:highlight w:val="none"/>
          <w:lang w:val="zh-CN" w:eastAsia="zh-CN" w:bidi="ar-SA"/>
        </w:rPr>
        <w:t>项目名称：</w:t>
      </w:r>
      <w:r>
        <w:rPr>
          <w:rFonts w:hint="eastAsia" w:ascii="仿宋" w:hAnsi="仿宋" w:eastAsia="仿宋" w:cs="仿宋"/>
          <w:kern w:val="2"/>
          <w:sz w:val="24"/>
          <w:szCs w:val="24"/>
          <w:highlight w:val="none"/>
          <w:u w:val="single"/>
          <w:lang w:val="zh-CN" w:eastAsia="zh-CN" w:bidi="ar-SA"/>
        </w:rPr>
        <w:t xml:space="preserve">  </w:t>
      </w:r>
      <w:r>
        <w:rPr>
          <w:rFonts w:hint="eastAsia" w:ascii="仿宋" w:hAnsi="仿宋" w:eastAsia="仿宋" w:cs="仿宋"/>
          <w:kern w:val="2"/>
          <w:sz w:val="24"/>
          <w:szCs w:val="24"/>
          <w:highlight w:val="none"/>
          <w:u w:val="single"/>
          <w:lang w:val="en-US" w:eastAsia="zh-CN" w:bidi="ar-SA"/>
        </w:rPr>
        <w:t xml:space="preserve">                </w:t>
      </w:r>
    </w:p>
    <w:p w14:paraId="1C87FC23">
      <w:pPr>
        <w:pStyle w:val="4"/>
        <w:spacing w:before="220" w:line="219" w:lineRule="auto"/>
        <w:ind w:left="495"/>
        <w:rPr>
          <w:rFonts w:hint="default"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zh-CN" w:eastAsia="zh-CN" w:bidi="ar-SA"/>
        </w:rPr>
        <w:t>项目编号：</w:t>
      </w:r>
      <w:r>
        <w:rPr>
          <w:rFonts w:hint="eastAsia" w:ascii="仿宋" w:hAnsi="仿宋" w:eastAsia="仿宋" w:cs="仿宋"/>
          <w:kern w:val="2"/>
          <w:sz w:val="24"/>
          <w:szCs w:val="24"/>
          <w:highlight w:val="none"/>
          <w:u w:val="single"/>
          <w:lang w:val="zh-CN" w:eastAsia="zh-CN" w:bidi="ar-SA"/>
        </w:rPr>
        <w:t xml:space="preserve"> </w:t>
      </w:r>
      <w:r>
        <w:rPr>
          <w:rFonts w:hint="eastAsia" w:ascii="仿宋" w:hAnsi="仿宋" w:eastAsia="仿宋" w:cs="仿宋"/>
          <w:kern w:val="2"/>
          <w:sz w:val="24"/>
          <w:szCs w:val="24"/>
          <w:highlight w:val="none"/>
          <w:u w:val="single"/>
          <w:lang w:val="en-US" w:eastAsia="zh-CN" w:bidi="ar-SA"/>
        </w:rPr>
        <w:t xml:space="preserve">                  </w:t>
      </w:r>
    </w:p>
    <w:p w14:paraId="7DE7953D">
      <w:pPr>
        <w:pStyle w:val="4"/>
        <w:spacing w:before="200" w:line="219" w:lineRule="auto"/>
        <w:ind w:left="495"/>
        <w:rPr>
          <w:rFonts w:hint="default" w:ascii="仿宋" w:hAnsi="仿宋" w:eastAsia="仿宋" w:cs="仿宋"/>
          <w:kern w:val="2"/>
          <w:sz w:val="24"/>
          <w:szCs w:val="24"/>
          <w:highlight w:val="none"/>
          <w:u w:val="single"/>
          <w:lang w:val="en-US" w:eastAsia="zh-CN" w:bidi="ar-SA"/>
        </w:rPr>
      </w:pPr>
      <w:r>
        <w:rPr>
          <w:rFonts w:hint="eastAsia" w:ascii="仿宋" w:hAnsi="仿宋" w:eastAsia="仿宋" w:cs="仿宋"/>
          <w:kern w:val="2"/>
          <w:sz w:val="24"/>
          <w:szCs w:val="24"/>
          <w:highlight w:val="none"/>
          <w:lang w:val="zh-CN" w:eastAsia="zh-CN" w:bidi="ar-SA"/>
        </w:rPr>
        <w:t>项目地点：</w:t>
      </w:r>
      <w:r>
        <w:rPr>
          <w:rFonts w:hint="eastAsia" w:ascii="仿宋" w:hAnsi="仿宋" w:eastAsia="仿宋" w:cs="仿宋"/>
          <w:kern w:val="2"/>
          <w:sz w:val="24"/>
          <w:szCs w:val="24"/>
          <w:highlight w:val="none"/>
          <w:u w:val="single"/>
          <w:lang w:val="en-US" w:eastAsia="zh-CN" w:bidi="ar-SA"/>
        </w:rPr>
        <w:t xml:space="preserve">                   </w:t>
      </w:r>
    </w:p>
    <w:p w14:paraId="6A13588C">
      <w:pPr>
        <w:pStyle w:val="4"/>
        <w:spacing w:before="115" w:line="222" w:lineRule="auto"/>
        <w:ind w:left="38"/>
        <w:rPr>
          <w:rFonts w:hint="eastAsia" w:ascii="仿宋" w:hAnsi="仿宋" w:eastAsia="仿宋" w:cs="仿宋"/>
          <w:kern w:val="2"/>
          <w:sz w:val="24"/>
          <w:szCs w:val="24"/>
          <w:highlight w:val="none"/>
          <w:lang w:val="zh-CN" w:eastAsia="zh-CN" w:bidi="ar-SA"/>
        </w:rPr>
      </w:pPr>
      <w:r>
        <w:rPr>
          <w:rFonts w:hint="eastAsia" w:ascii="仿宋" w:hAnsi="仿宋" w:eastAsia="仿宋" w:cs="仿宋"/>
          <w:kern w:val="2"/>
          <w:sz w:val="24"/>
          <w:szCs w:val="24"/>
          <w:highlight w:val="none"/>
          <w:lang w:val="zh-CN" w:eastAsia="zh-CN" w:bidi="ar-SA"/>
        </w:rPr>
        <w:t>二.合同价款</w:t>
      </w:r>
    </w:p>
    <w:p w14:paraId="4D35DDF7">
      <w:pPr>
        <w:pStyle w:val="4"/>
        <w:spacing w:before="141" w:line="362" w:lineRule="auto"/>
        <w:ind w:left="34" w:right="1829" w:firstLine="460"/>
        <w:rPr>
          <w:rFonts w:hint="eastAsia" w:ascii="仿宋" w:hAnsi="仿宋" w:eastAsia="仿宋" w:cs="仿宋"/>
          <w:kern w:val="2"/>
          <w:sz w:val="24"/>
          <w:szCs w:val="24"/>
          <w:highlight w:val="none"/>
          <w:lang w:val="zh-CN" w:eastAsia="zh-CN" w:bidi="ar-SA"/>
        </w:rPr>
      </w:pPr>
      <w:r>
        <w:rPr>
          <w:rFonts w:hint="eastAsia" w:ascii="仿宋" w:hAnsi="仿宋" w:eastAsia="仿宋" w:cs="仿宋"/>
          <w:kern w:val="2"/>
          <w:sz w:val="24"/>
          <w:szCs w:val="24"/>
          <w:highlight w:val="none"/>
          <w:lang w:val="zh-CN" w:eastAsia="zh-CN" w:bidi="ar-SA"/>
        </w:rPr>
        <w:t>本项目采用总价合同。合同总价款大写：</w:t>
      </w:r>
      <w:r>
        <w:rPr>
          <w:rFonts w:hint="eastAsia" w:ascii="仿宋" w:hAnsi="仿宋" w:eastAsia="仿宋" w:cs="仿宋"/>
          <w:kern w:val="2"/>
          <w:sz w:val="24"/>
          <w:szCs w:val="24"/>
          <w:highlight w:val="none"/>
          <w:u w:val="single"/>
          <w:lang w:val="en-US" w:eastAsia="zh-CN" w:bidi="ar-SA"/>
        </w:rPr>
        <w:t xml:space="preserve">       </w:t>
      </w:r>
      <w:r>
        <w:rPr>
          <w:rFonts w:hint="eastAsia" w:ascii="仿宋" w:hAnsi="仿宋" w:eastAsia="仿宋" w:cs="仿宋"/>
          <w:kern w:val="2"/>
          <w:sz w:val="24"/>
          <w:szCs w:val="24"/>
          <w:highlight w:val="none"/>
          <w:lang w:val="zh-CN" w:eastAsia="zh-CN" w:bidi="ar-SA"/>
        </w:rPr>
        <w:t>(小写)</w:t>
      </w:r>
      <w:r>
        <w:rPr>
          <w:rFonts w:hint="eastAsia" w:ascii="仿宋" w:hAnsi="仿宋" w:eastAsia="仿宋" w:cs="仿宋"/>
          <w:kern w:val="2"/>
          <w:sz w:val="24"/>
          <w:szCs w:val="24"/>
          <w:highlight w:val="none"/>
          <w:u w:val="single"/>
          <w:lang w:val="en-US" w:eastAsia="zh-CN" w:bidi="ar-SA"/>
        </w:rPr>
        <w:t xml:space="preserve">       </w:t>
      </w:r>
      <w:r>
        <w:rPr>
          <w:rFonts w:hint="eastAsia" w:ascii="仿宋" w:hAnsi="仿宋" w:eastAsia="仿宋" w:cs="仿宋"/>
          <w:kern w:val="2"/>
          <w:sz w:val="24"/>
          <w:szCs w:val="24"/>
          <w:highlight w:val="none"/>
          <w:lang w:val="zh-CN" w:eastAsia="zh-CN" w:bidi="ar-SA"/>
        </w:rPr>
        <w:t>元。</w:t>
      </w:r>
    </w:p>
    <w:p w14:paraId="70F98B42">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三.合同条款及附件</w:t>
      </w:r>
    </w:p>
    <w:p w14:paraId="71C4D1C5">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(一)合同条款</w:t>
      </w:r>
    </w:p>
    <w:p w14:paraId="1D330C22">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(二)合同条款附件</w:t>
      </w:r>
    </w:p>
    <w:p w14:paraId="4D26337F">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附件1一服务内容与说明</w:t>
      </w:r>
    </w:p>
    <w:p w14:paraId="737B90EA">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附件2—服务方案</w:t>
      </w:r>
    </w:p>
    <w:p w14:paraId="477D1840">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(三)成交通知书</w:t>
      </w:r>
    </w:p>
    <w:p w14:paraId="091AEF89">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(四)磋商文件</w:t>
      </w:r>
    </w:p>
    <w:p w14:paraId="352C85D7">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(五)响应文件</w:t>
      </w:r>
    </w:p>
    <w:p w14:paraId="50BEA2D9">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(六)工作人员工资发放承诺书</w:t>
      </w:r>
    </w:p>
    <w:p w14:paraId="5AE7AEF5">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四.款项结算</w:t>
      </w:r>
    </w:p>
    <w:p w14:paraId="6989519C">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(一)合同签订后，甲方收到增值税普通发票后，达到付款条件起10日内，支付合同总金额的50.00%;</w:t>
      </w:r>
    </w:p>
    <w:p w14:paraId="73BA114D">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202</w:t>
      </w:r>
      <w:r>
        <w:rPr>
          <w:rFonts w:hint="eastAsia" w:ascii="仿宋" w:hAnsi="仿宋" w:eastAsia="仿宋" w:cs="仿宋"/>
          <w:sz w:val="24"/>
          <w:szCs w:val="24"/>
          <w:highlight w:val="none"/>
          <w:u w:val="none"/>
          <w:lang w:val="en-US" w:eastAsia="zh-CN"/>
        </w:rPr>
        <w:t>6</w:t>
      </w:r>
      <w:r>
        <w:rPr>
          <w:rFonts w:hint="eastAsia" w:ascii="仿宋" w:hAnsi="仿宋" w:eastAsia="仿宋" w:cs="仿宋"/>
          <w:sz w:val="24"/>
          <w:szCs w:val="24"/>
          <w:highlight w:val="none"/>
          <w:u w:val="none"/>
          <w:lang w:val="zh-CN" w:eastAsia="zh-CN"/>
        </w:rPr>
        <w:t>年第三季度结束，经验收合格，甲方收到增值税普通发票后，达到付款条件起10日内，支付合同总金额的25.00%;</w:t>
      </w:r>
    </w:p>
    <w:p w14:paraId="516F74E2">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202</w:t>
      </w:r>
      <w:r>
        <w:rPr>
          <w:rFonts w:hint="eastAsia" w:ascii="仿宋" w:hAnsi="仿宋" w:eastAsia="仿宋" w:cs="仿宋"/>
          <w:sz w:val="24"/>
          <w:szCs w:val="24"/>
          <w:highlight w:val="none"/>
          <w:u w:val="none"/>
          <w:lang w:val="en-US" w:eastAsia="zh-CN"/>
        </w:rPr>
        <w:t>6</w:t>
      </w:r>
      <w:r>
        <w:rPr>
          <w:rFonts w:hint="eastAsia" w:ascii="仿宋" w:hAnsi="仿宋" w:eastAsia="仿宋" w:cs="仿宋"/>
          <w:sz w:val="24"/>
          <w:szCs w:val="24"/>
          <w:highlight w:val="none"/>
          <w:u w:val="none"/>
          <w:lang w:val="zh-CN" w:eastAsia="zh-CN"/>
        </w:rPr>
        <w:t>年第四季度，于12月初进行验收，经验收合格，甲方收到增值税普通发票后，达到付款条件起10日内，支付合同总金额的25.00%；。</w:t>
      </w:r>
    </w:p>
    <w:p w14:paraId="5C4C6D72">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(二)支付方式：银行转账。</w:t>
      </w:r>
    </w:p>
    <w:p w14:paraId="55406781">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(三)结算方式：验收合格后填写政府采购项目验收单(一式伍份),供应商持成交通知书.服务合同.正式发票.政府采购项目验收单，与采购人结算。</w:t>
      </w:r>
    </w:p>
    <w:p w14:paraId="364514CD">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五.服务内容</w:t>
      </w:r>
    </w:p>
    <w:p w14:paraId="5D0D9934">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1.设备运行管理</w:t>
      </w:r>
    </w:p>
    <w:p w14:paraId="69DADE02">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负责渗滤液处理设备的日常启动.停止.运行监控及操作，确保设备按照工艺要求和运行参数稳定运行。</w:t>
      </w:r>
    </w:p>
    <w:p w14:paraId="4704DE18">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对设备运行数据进行实时记录和分析，包括但不限于流量.水质指标(如COD.氨氮.总氮.总磷等).处理效率.设备运行时间等，每日形成运行报表，并定期(每周.每月)提交运行总结报告。</w:t>
      </w:r>
    </w:p>
    <w:p w14:paraId="3E79C6B5">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根据设备运行情况，建立运行台账，做好各项记录，及时调整运行参数，优化处理工艺，确保渗滤液处理效果达到设计标准和环保要求。</w:t>
      </w:r>
    </w:p>
    <w:p w14:paraId="739B0F6C">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2. 设备维护保养</w:t>
      </w:r>
    </w:p>
    <w:p w14:paraId="3193E453">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制定详细的设备维护保养计划，包括日常巡检.定期维护.预防性维护和 故障维修等内容，确保设备处于良好运行状态，减少设备故障发生率。</w:t>
      </w:r>
    </w:p>
    <w:p w14:paraId="186CEA0B">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每日对设备进行巡检，检查设备外观.运行声音.仪表显示.管道阀门等是否正常，及时发现并处理设备运行中的异常情况。巡检记录应详细.准确，包括巡检时间.巡检人员.设备运行状况.发现的问题及处理措施等。</w:t>
      </w:r>
    </w:p>
    <w:p w14:paraId="2E429C1A">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按照设备维护保养手册和相关标准规范，定期对设备进行维护保养，包括 但不限于设备清洁.润滑.紧固.防腐.更换易损件等工作。维护保养工作应提 前通知甲方，并在规定时间内完成，不得影响设备正常运行。</w:t>
      </w:r>
    </w:p>
    <w:p w14:paraId="091663DA">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建立设备维修档案，详细记录设备故障时间.故障现象.故障原因.维修过程.更换零部件情况及维修后设备运行状况等信息，以便对设备运行状态进行跟踪分析和评估。</w:t>
      </w:r>
    </w:p>
    <w:p w14:paraId="06A94A86">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3.水质监测与达标排放</w:t>
      </w:r>
    </w:p>
    <w:p w14:paraId="41D69645">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负责渗滤液处理过程中的水质监测工作，按照国家相关标准和规范要求，定 期对进水.出水水质进行采样分析，监测项目包括但不限于COD.BOD₅.氨氮.总氮.总磷.SS.pH值等。采样频率应满足环保部门及中转站排污许可证要求，且每月不少于1次。</w:t>
      </w:r>
    </w:p>
    <w:p w14:paraId="2D1CD46A">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根据水质监测结果，及时调整处理工艺和运行参数，确保出水水质达到国家和地方规定的排放标准。若出水水质不达标，乙方应立即采取有效措施进行处理，并及时通知甲方，同时提交超标原因分析报告和整改方案。甲方随时抽检，若出 水水质不达标，甲方有权要求乙方支付违约金，并承担由此给甲方造成的一切损失。</w:t>
      </w:r>
    </w:p>
    <w:p w14:paraId="30C1E53F">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配合环保部门对渗滤液处理设备的监督检查和水质抽检工作，及时提供相关 资料和数据，确保监督检查顺利进行。</w:t>
      </w:r>
    </w:p>
    <w:p w14:paraId="3918B8BA">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4.二次污染预防：设置二次污染应急控制点，如污泥存储.废气排放及废水 突增处理措施，确保安全可控。</w:t>
      </w:r>
    </w:p>
    <w:p w14:paraId="0FC85ECB">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负责渗滤液处理过程中产生的污泥的收集等工作，确保污泥含水率达到设计 要求，便于后续处置。</w:t>
      </w:r>
    </w:p>
    <w:p w14:paraId="7EEA5E80">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按照环保部门要求，对污泥进行规范处置，选择合法.合规的污泥处置单 位，并签订污泥处置合同。污泥处置过程应符合国家相关法律法规和标准规范要 求，不得对环境造成二次污染。</w:t>
      </w:r>
    </w:p>
    <w:p w14:paraId="21A36875">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建立污泥管理台账，详细记录污泥产生量.处置量.处置去向.处置方式等 信息，定期向甲方报告污泥处置情况。</w:t>
      </w:r>
    </w:p>
    <w:p w14:paraId="0FD89725">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5.设备运行安全管理</w:t>
      </w:r>
    </w:p>
    <w:p w14:paraId="4815C022">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建立健全设备运行安全管理制度，制定设备操作规程.安全检查制度.应 急预案等，确保设备运行过程中的人员安全和设备安全。</w:t>
      </w:r>
    </w:p>
    <w:p w14:paraId="77356795">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对运行服务人员进行安全教育培训，使其熟悉设备运行安全知识和应急处置 措施，持证上岗率达到100%。</w:t>
      </w:r>
    </w:p>
    <w:p w14:paraId="22DDAA6C">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定期对设备运行场所进行安全检查，排查安全隐患，及时整改发现的问题。 对可能发生的设备故障.火灾.爆炸.泄漏等安全事故制定应急预案，并定期组 织演练，提高应急处置能力。</w:t>
      </w:r>
    </w:p>
    <w:p w14:paraId="18B72A61">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在设备运行过程中，严格遵守安全操作规程，确保人员和设备安全。若因乙 方违反安全操作规程导致的安全事故，由乙方承担全部责任，并赔偿由此给甲方 造成的一切损失。</w:t>
      </w:r>
    </w:p>
    <w:p w14:paraId="4ABBDB63">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四.设备及材料供应要求</w:t>
      </w:r>
    </w:p>
    <w:p w14:paraId="0EE0B143">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1.乙方应负责提供设备运行所需的全部药剂.易损件.备品备件等材料，并 确保所提供材料的质量符合国家相关标准和设备生产厂家的要求。药剂应选用知名 品牌产品，具有质量合格证明文件和环保部门认可的资质证书。易损件和备品备 件应与设备生产厂家提供的原装产品相匹配，确保设备正常运行。</w:t>
      </w:r>
    </w:p>
    <w:p w14:paraId="3A031329">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2.乙方应建立完善的材料采购管理制度和质量检验制度，对采购的材料进行 严格的质量检验，确保材料质量合格后方可投入使用。材料采购记录应详细.准 确，包括材料名称.规格型号.生产厂家.采购日期.采购数量.质量检验结果等信息，并妥善保存，以备甲方检查。</w:t>
      </w:r>
    </w:p>
    <w:p w14:paraId="677A70DC">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3.乙方应根据设备运行情况和材料消耗规律，合理储备药剂.易损件.备品 备件等材料，确保设备正常运行不受影响。材料储备量应满足设备连续运行7天以上的需求。</w:t>
      </w:r>
    </w:p>
    <w:p w14:paraId="295460B9">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4.若因乙方提供的材料质量问题导致设备故障或处理效果不达标，乙方应承 担全部责任，及时更换合格材料，并赔偿由此给甲方造成的一切损失。</w:t>
      </w:r>
    </w:p>
    <w:p w14:paraId="399F2492">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五.环保要求</w:t>
      </w:r>
    </w:p>
    <w:p w14:paraId="352F55CF">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1.渗滤液处理设备运行服务应严格遵守国家和地方的环保法律法规，确保处 理后的出水水质达到国家和地方规定的排放标准，不得对周边环境造成污染。</w:t>
      </w:r>
    </w:p>
    <w:p w14:paraId="10D711E5">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2.乙方应采取有效措施，减少设备运行过程中的废气.废水.废渣排放。对 设备运行过程中产生的废气应进行收集处理，确保达标排放；对产生的废水应全 部回用或达标排放；对产生的废渣应按照环保要求进行规范处置，不得随意丢弃或倾倒。</w:t>
      </w:r>
    </w:p>
    <w:p w14:paraId="600B243B">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3.乙方应加强对设备运行场所的环境管理，保持设备运行场所整洁.卫生，无杂物堆放.无异味散发。定期对设备运行场所进行清扫和消毒，防止病菌滋生和传播。</w:t>
      </w:r>
    </w:p>
    <w:p w14:paraId="336EDE2A">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乙方应积极配合甲方和环保部门对渗滤液处理设备的环保监督检查工作，及 时提供相关资料和数据，对检查发现的问题及时整改，确保设备运行符合环保要求。</w:t>
      </w:r>
    </w:p>
    <w:p w14:paraId="0BE407D2">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六.质量保证与验收要求</w:t>
      </w:r>
    </w:p>
    <w:p w14:paraId="0B8B0997">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乙方应建立完善的质量保证体系，对渗滤液处理设备运行服务的全过程进行 质量控制，确保服务质量达到甲方要求。</w:t>
      </w:r>
    </w:p>
    <w:p w14:paraId="3B6DA790">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乙方应按照国家和地方相关标准规范以及本招标要求，定期对设备运行情况进行质量自检，并形成自检报告提交甲方。自检内容包括设备运行参数.处理效果.水质达标情况.设备维护保养情况.人员操作规范性等。</w:t>
      </w:r>
    </w:p>
    <w:p w14:paraId="05CC443B">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甲方有权对乙方的设备运行服务情况进行不定期检查和抽查，检查内容包括但不限于设备运行状态.水质监测数据.运行记录.维护保养记录.人员配备情况等。若发现乙方存在质量问题或不符合招标要求的情况，甲方有权要求乙方限 期整改，并视情节轻重扣除相应违约金。</w:t>
      </w:r>
    </w:p>
    <w:p w14:paraId="7EC917D5">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服务期内，乙方应确保设备运行稳定可靠，出水水质达标。若因乙方原因导致设备运行不正常或出水水质不达标，乙方应立即采取有效措施进行整改，并承 担由此给甲方造成的一切损失。</w:t>
      </w:r>
    </w:p>
    <w:p w14:paraId="350DD332">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服务期满后，甲方将组织对乙方的设备运行服务情况进行全面验收。验收内 容包括设备运行状况.处理效果.水质达标情况.设备维护保养情况.人员管理情况.安全管理情况等。验收合格后，双方办理交接手续；验收不合格的，乙方 应按照甲方要求进行整改，直至验收合格为止。</w:t>
      </w:r>
    </w:p>
    <w:p w14:paraId="16655FB5">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七.验收依据</w:t>
      </w:r>
    </w:p>
    <w:p w14:paraId="37E34346">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(一)服务期满后，甲方对本项目的实施情况进行验收，确认服务标准和服务方式是否达到采购要求(必要时采购人可委托技术专家对项目进行验收)。验 收合格后，填写政府采购项目验收单(一式伍份)作为对项目的最终认可。</w:t>
      </w:r>
    </w:p>
    <w:p w14:paraId="64862870">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(二)验收依据</w:t>
      </w:r>
    </w:p>
    <w:p w14:paraId="668C8529">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1</w:t>
      </w:r>
      <w:r>
        <w:rPr>
          <w:rFonts w:hint="eastAsia" w:ascii="仿宋" w:hAnsi="仿宋" w:eastAsia="仿宋" w:cs="仿宋"/>
          <w:sz w:val="24"/>
          <w:szCs w:val="24"/>
          <w:highlight w:val="none"/>
          <w:u w:val="none"/>
          <w:lang w:val="en-US" w:eastAsia="zh-CN"/>
        </w:rPr>
        <w:t>.</w:t>
      </w:r>
      <w:r>
        <w:rPr>
          <w:rFonts w:hint="eastAsia" w:ascii="仿宋" w:hAnsi="仿宋" w:eastAsia="仿宋" w:cs="仿宋"/>
          <w:sz w:val="24"/>
          <w:szCs w:val="24"/>
          <w:highlight w:val="none"/>
          <w:u w:val="none"/>
          <w:lang w:val="zh-CN" w:eastAsia="zh-CN"/>
        </w:rPr>
        <w:t>磋商文件.响应文件.澄清表(函);</w:t>
      </w:r>
    </w:p>
    <w:p w14:paraId="191999D3">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2</w:t>
      </w:r>
      <w:r>
        <w:rPr>
          <w:rFonts w:hint="eastAsia" w:ascii="仿宋" w:hAnsi="仿宋" w:eastAsia="仿宋" w:cs="仿宋"/>
          <w:sz w:val="24"/>
          <w:szCs w:val="24"/>
          <w:highlight w:val="none"/>
          <w:u w:val="none"/>
          <w:lang w:val="en-US" w:eastAsia="zh-CN"/>
        </w:rPr>
        <w:t>.</w:t>
      </w:r>
      <w:r>
        <w:rPr>
          <w:rFonts w:hint="eastAsia" w:ascii="仿宋" w:hAnsi="仿宋" w:eastAsia="仿宋" w:cs="仿宋"/>
          <w:sz w:val="24"/>
          <w:szCs w:val="24"/>
          <w:highlight w:val="none"/>
          <w:u w:val="none"/>
          <w:lang w:val="zh-CN" w:eastAsia="zh-CN"/>
        </w:rPr>
        <w:t>本合同及附件文本；</w:t>
      </w:r>
    </w:p>
    <w:p w14:paraId="43BD46E6">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3</w:t>
      </w:r>
      <w:r>
        <w:rPr>
          <w:rFonts w:hint="eastAsia" w:ascii="仿宋" w:hAnsi="仿宋" w:eastAsia="仿宋" w:cs="仿宋"/>
          <w:sz w:val="24"/>
          <w:szCs w:val="24"/>
          <w:highlight w:val="none"/>
          <w:u w:val="none"/>
          <w:lang w:val="en-US" w:eastAsia="zh-CN"/>
        </w:rPr>
        <w:t>.</w:t>
      </w:r>
      <w:r>
        <w:rPr>
          <w:rFonts w:hint="eastAsia" w:ascii="仿宋" w:hAnsi="仿宋" w:eastAsia="仿宋" w:cs="仿宋"/>
          <w:sz w:val="24"/>
          <w:szCs w:val="24"/>
          <w:highlight w:val="none"/>
          <w:u w:val="none"/>
          <w:lang w:val="zh-CN" w:eastAsia="zh-CN"/>
        </w:rPr>
        <w:t>合同签订时国家及行业现行的标准和技术规范。</w:t>
      </w:r>
    </w:p>
    <w:p w14:paraId="68A4C9ED">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八</w:t>
      </w:r>
      <w:r>
        <w:rPr>
          <w:rFonts w:hint="eastAsia" w:ascii="仿宋" w:hAnsi="仿宋" w:eastAsia="仿宋" w:cs="仿宋"/>
          <w:sz w:val="24"/>
          <w:szCs w:val="24"/>
          <w:highlight w:val="none"/>
          <w:u w:val="none"/>
          <w:lang w:val="en-US" w:eastAsia="zh-CN"/>
        </w:rPr>
        <w:t>.</w:t>
      </w:r>
      <w:r>
        <w:rPr>
          <w:rFonts w:hint="eastAsia" w:ascii="仿宋" w:hAnsi="仿宋" w:eastAsia="仿宋" w:cs="仿宋"/>
          <w:sz w:val="24"/>
          <w:szCs w:val="24"/>
          <w:highlight w:val="none"/>
          <w:u w:val="none"/>
          <w:lang w:val="zh-CN" w:eastAsia="zh-CN"/>
        </w:rPr>
        <w:t>其他要求</w:t>
      </w:r>
    </w:p>
    <w:p w14:paraId="697F92A0">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乙方应建立健全设备运行服务管理制度，包括人员管理制度.设备操作规程. 维护保养制度.质量管理制度.安全管理制度.环保管理制度等，确保设备运行 服务的规范化.制度化和科学化。各项管理制度应报甲方备案，并严格执行。</w:t>
      </w:r>
    </w:p>
    <w:p w14:paraId="0D8486B6">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乙方应加强与甲方的沟通与协调，定期向甲方汇报设备运行服务情况，及时解决设备运行过程中出现的问题。对于甲方提出的合理建议和要求，乙方应积极采纳并认真落实。</w:t>
      </w:r>
    </w:p>
    <w:p w14:paraId="59704CE9">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乙方应加强对运行服务人员的管理，确保人员遵守甲方的规章制度和现场管 理要求，爱护甲方的设备和设施，不得损坏或盗窃甲方的财物。若乙方人员违反 甲方规章制度或造成甲方财物损失的，乙方应承担相应的赔偿责任。</w:t>
      </w:r>
    </w:p>
    <w:p w14:paraId="1546BDA4">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乙方应负责设备专用供电线路的日常维护.检修工作，承担设备运维服务过 程中产生的所有电费，并按时交纳电费，若因乙方原因造成设备断电无法正常运 行时，由乙方承担全部责任。</w:t>
      </w:r>
    </w:p>
    <w:p w14:paraId="139B9B90">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乙方应承担设备运行服务过程中产生的所有费用，包括但不限于人员工资.电费.设备维护保养费用.药剂费用.材料费用.水质监测费用.污泥处置费用.安全环保费用等。甲方除按照合同约定支付服务费用外，不再承担任何其他费用。</w:t>
      </w:r>
    </w:p>
    <w:p w14:paraId="2735FFC2">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乙方应为设备运行服务人员购买人身意外伤害保险，若因乙方未购买保险或保险金额不足导致的人员伤亡事故，由乙方承担全部责任，并赔偿由此给甲方造成的一切损失。</w:t>
      </w:r>
    </w:p>
    <w:p w14:paraId="41422B55">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乙方应保证设备运行服务的连续性和稳定性，不得因人员调整.设备故障.材料供应不足等原因中断设备运行服务。若因乙方原因导致设备运行服务中断超过24小时，甲方有权要求乙方支付违约金，并承担由此给甲方造成的一切损失。</w:t>
      </w:r>
    </w:p>
    <w:p w14:paraId="3F2CAD8B">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乙方应尊重甲方的知识产权和商业秘密，对在设备运行服务过程中接触到的</w:t>
      </w:r>
    </w:p>
    <w:p w14:paraId="66C201AF">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甲方的技术资料.工艺流程.设备参数.水质数据等信息严格保密，未经甲方书面同意，不得向第三方披露或用于其他商业用途。若乙方违反保密义务，给甲方造成损失的，应承担相应的赔偿责任。</w:t>
      </w:r>
    </w:p>
    <w:p w14:paraId="2E32B08D">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九.权利和义务</w:t>
      </w:r>
    </w:p>
    <w:p w14:paraId="77FCC42F">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(一)甲方权利义务</w:t>
      </w:r>
    </w:p>
    <w:p w14:paraId="5EFAF5EB">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1</w:t>
      </w:r>
      <w:r>
        <w:rPr>
          <w:rFonts w:hint="eastAsia" w:ascii="仿宋" w:hAnsi="仿宋" w:eastAsia="仿宋" w:cs="仿宋"/>
          <w:sz w:val="24"/>
          <w:szCs w:val="24"/>
          <w:highlight w:val="none"/>
          <w:u w:val="none"/>
          <w:lang w:val="en-US" w:eastAsia="zh-CN"/>
        </w:rPr>
        <w:t>.</w:t>
      </w:r>
      <w:r>
        <w:rPr>
          <w:rFonts w:hint="eastAsia" w:ascii="仿宋" w:hAnsi="仿宋" w:eastAsia="仿宋" w:cs="仿宋"/>
          <w:sz w:val="24"/>
          <w:szCs w:val="24"/>
          <w:highlight w:val="none"/>
          <w:u w:val="none"/>
          <w:lang w:val="zh-CN" w:eastAsia="zh-CN"/>
        </w:rPr>
        <w:t>甲方有权监督乙方是否建立.健全各种作业规范.安全操作规程.文明 生产等规章制度。如甲方发现乙方有不按规范操作.服务质量不达标.卫生状况差等情况，甲方有权拒绝付费或扣罚费用，乙方应立即予以改进。</w:t>
      </w:r>
    </w:p>
    <w:p w14:paraId="67D6CE1F">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2</w:t>
      </w:r>
      <w:r>
        <w:rPr>
          <w:rFonts w:hint="eastAsia" w:ascii="仿宋" w:hAnsi="仿宋" w:eastAsia="仿宋" w:cs="仿宋"/>
          <w:sz w:val="24"/>
          <w:szCs w:val="24"/>
          <w:highlight w:val="none"/>
          <w:u w:val="none"/>
          <w:lang w:val="en-US" w:eastAsia="zh-CN"/>
        </w:rPr>
        <w:t>.</w:t>
      </w:r>
      <w:r>
        <w:rPr>
          <w:rFonts w:hint="eastAsia" w:ascii="仿宋" w:hAnsi="仿宋" w:eastAsia="仿宋" w:cs="仿宋"/>
          <w:sz w:val="24"/>
          <w:szCs w:val="24"/>
          <w:highlight w:val="none"/>
          <w:u w:val="none"/>
          <w:lang w:val="zh-CN" w:eastAsia="zh-CN"/>
        </w:rPr>
        <w:t>甲方应按照合同规定，按时足额向乙方缴纳本合同项下的服务费及其它应付费用。</w:t>
      </w:r>
    </w:p>
    <w:p w14:paraId="3102FE31">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(二)乙方权利义务</w:t>
      </w:r>
    </w:p>
    <w:p w14:paraId="6A70BA1F">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1</w:t>
      </w:r>
      <w:r>
        <w:rPr>
          <w:rFonts w:hint="eastAsia" w:ascii="仿宋" w:hAnsi="仿宋" w:eastAsia="仿宋" w:cs="仿宋"/>
          <w:sz w:val="24"/>
          <w:szCs w:val="24"/>
          <w:highlight w:val="none"/>
          <w:u w:val="none"/>
          <w:lang w:val="en-US" w:eastAsia="zh-CN"/>
        </w:rPr>
        <w:t>.</w:t>
      </w:r>
      <w:r>
        <w:rPr>
          <w:rFonts w:hint="eastAsia" w:ascii="仿宋" w:hAnsi="仿宋" w:eastAsia="仿宋" w:cs="仿宋"/>
          <w:sz w:val="24"/>
          <w:szCs w:val="24"/>
          <w:highlight w:val="none"/>
          <w:u w:val="none"/>
          <w:lang w:val="zh-CN" w:eastAsia="zh-CN"/>
        </w:rPr>
        <w:t>有权要求甲方按规定支付经双方确认的费用；</w:t>
      </w:r>
    </w:p>
    <w:p w14:paraId="76CC44F8">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2</w:t>
      </w:r>
      <w:r>
        <w:rPr>
          <w:rFonts w:hint="eastAsia" w:ascii="仿宋" w:hAnsi="仿宋" w:eastAsia="仿宋" w:cs="仿宋"/>
          <w:sz w:val="24"/>
          <w:szCs w:val="24"/>
          <w:highlight w:val="none"/>
          <w:u w:val="none"/>
          <w:lang w:val="en-US" w:eastAsia="zh-CN"/>
        </w:rPr>
        <w:t>.</w:t>
      </w:r>
      <w:r>
        <w:rPr>
          <w:rFonts w:hint="eastAsia" w:ascii="仿宋" w:hAnsi="仿宋" w:eastAsia="仿宋" w:cs="仿宋"/>
          <w:sz w:val="24"/>
          <w:szCs w:val="24"/>
          <w:highlight w:val="none"/>
          <w:u w:val="none"/>
          <w:lang w:val="zh-CN" w:eastAsia="zh-CN"/>
        </w:rPr>
        <w:t>乙方应严格按照相关的技术规范或国家有关技术标准.作业规范进行服务，并严格执行质量标准和“三检”制度，做到文明作业.安全作业；</w:t>
      </w:r>
    </w:p>
    <w:p w14:paraId="1DBB805F">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3</w:t>
      </w:r>
      <w:r>
        <w:rPr>
          <w:rFonts w:hint="eastAsia" w:ascii="仿宋" w:hAnsi="仿宋" w:eastAsia="仿宋" w:cs="仿宋"/>
          <w:sz w:val="24"/>
          <w:szCs w:val="24"/>
          <w:highlight w:val="none"/>
          <w:u w:val="none"/>
          <w:lang w:val="en-US" w:eastAsia="zh-CN"/>
        </w:rPr>
        <w:t>.</w:t>
      </w:r>
      <w:r>
        <w:rPr>
          <w:rFonts w:hint="eastAsia" w:ascii="仿宋" w:hAnsi="仿宋" w:eastAsia="仿宋" w:cs="仿宋"/>
          <w:sz w:val="24"/>
          <w:szCs w:val="24"/>
          <w:highlight w:val="none"/>
          <w:u w:val="none"/>
          <w:lang w:val="zh-CN" w:eastAsia="zh-CN"/>
        </w:rPr>
        <w:t>乙方不得干涉甲方对服务过程进行监督，并对甲方提出的服务态度.整改等意见和建议进行回复.改正；</w:t>
      </w:r>
    </w:p>
    <w:p w14:paraId="32127B66">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4</w:t>
      </w:r>
      <w:r>
        <w:rPr>
          <w:rFonts w:hint="eastAsia" w:ascii="仿宋" w:hAnsi="仿宋" w:eastAsia="仿宋" w:cs="仿宋"/>
          <w:sz w:val="24"/>
          <w:szCs w:val="24"/>
          <w:highlight w:val="none"/>
          <w:u w:val="none"/>
          <w:lang w:val="en-US" w:eastAsia="zh-CN"/>
        </w:rPr>
        <w:t>.</w:t>
      </w:r>
      <w:r>
        <w:rPr>
          <w:rFonts w:hint="eastAsia" w:ascii="仿宋" w:hAnsi="仿宋" w:eastAsia="仿宋" w:cs="仿宋"/>
          <w:sz w:val="24"/>
          <w:szCs w:val="24"/>
          <w:highlight w:val="none"/>
          <w:u w:val="none"/>
          <w:lang w:val="zh-CN" w:eastAsia="zh-CN"/>
        </w:rPr>
        <w:t>乙方应确保不影响甲方的正常秩序；</w:t>
      </w:r>
    </w:p>
    <w:p w14:paraId="02108CC1">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5</w:t>
      </w:r>
      <w:r>
        <w:rPr>
          <w:rFonts w:hint="eastAsia" w:ascii="仿宋" w:hAnsi="仿宋" w:eastAsia="仿宋" w:cs="仿宋"/>
          <w:sz w:val="24"/>
          <w:szCs w:val="24"/>
          <w:highlight w:val="none"/>
          <w:u w:val="none"/>
          <w:lang w:val="en-US" w:eastAsia="zh-CN"/>
        </w:rPr>
        <w:t>.</w:t>
      </w:r>
      <w:r>
        <w:rPr>
          <w:rFonts w:hint="eastAsia" w:ascii="仿宋" w:hAnsi="仿宋" w:eastAsia="仿宋" w:cs="仿宋"/>
          <w:sz w:val="24"/>
          <w:szCs w:val="24"/>
          <w:highlight w:val="none"/>
          <w:u w:val="none"/>
          <w:lang w:val="zh-CN" w:eastAsia="zh-CN"/>
        </w:rPr>
        <w:t>乙方在服务过程中，若出现特殊情况.不可抗力等不能进行服务的，必须及时将详情反馈甲方，并征得甲方的同意。</w:t>
      </w:r>
    </w:p>
    <w:p w14:paraId="7D474CC5">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十</w:t>
      </w:r>
      <w:r>
        <w:rPr>
          <w:rFonts w:hint="eastAsia" w:ascii="仿宋" w:hAnsi="仿宋" w:eastAsia="仿宋" w:cs="仿宋"/>
          <w:sz w:val="24"/>
          <w:szCs w:val="24"/>
          <w:highlight w:val="none"/>
          <w:u w:val="none"/>
          <w:lang w:val="en-US" w:eastAsia="zh-CN"/>
        </w:rPr>
        <w:t>.</w:t>
      </w:r>
      <w:r>
        <w:rPr>
          <w:rFonts w:hint="eastAsia" w:ascii="仿宋" w:hAnsi="仿宋" w:eastAsia="仿宋" w:cs="仿宋"/>
          <w:sz w:val="24"/>
          <w:szCs w:val="24"/>
          <w:highlight w:val="none"/>
          <w:u w:val="none"/>
          <w:lang w:val="zh-CN" w:eastAsia="zh-CN"/>
        </w:rPr>
        <w:t>违约责任</w:t>
      </w:r>
    </w:p>
    <w:p w14:paraId="26AB360D">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(一)按《中华人民共和国民法典》中的相关条款执行。</w:t>
      </w:r>
    </w:p>
    <w:p w14:paraId="1A18F83A">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(二)乙方履约延误</w:t>
      </w:r>
    </w:p>
    <w:p w14:paraId="4861C125">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1.如乙方事先未征得甲方同意并得到甲方的谅解而单方面停止服务，将按违约终止合同。</w:t>
      </w:r>
    </w:p>
    <w:p w14:paraId="226601B3">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2.在履行合同过程中，如果乙方遇到可能妨碍工作和提供服务的情况，应及时以书面形式将事实，可能造成的影响和理由通知甲方。甲方在收到乙方通知后，应尽快对情况进行反馈，并确定是否通过修改合同。</w:t>
      </w:r>
    </w:p>
    <w:p w14:paraId="25EE2177">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3.违约终止合同：未按合同要求提供服务或不能满足服务要求，甲方会同 监督机构有权终止合同，对乙方违约行为进行追究，同时按政府采购法的有关规定进行相应的处罚。</w:t>
      </w:r>
    </w:p>
    <w:p w14:paraId="6C8EA797">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十一.合同争议解决的方式</w:t>
      </w:r>
    </w:p>
    <w:p w14:paraId="0F98C538">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本合同在履行过程中发生的争议，由甲.乙双方当事人协商解决，协商不成的按下列第</w:t>
      </w:r>
      <w:r>
        <w:rPr>
          <w:rFonts w:hint="eastAsia" w:ascii="仿宋" w:hAnsi="仿宋" w:eastAsia="仿宋" w:cs="仿宋"/>
          <w:sz w:val="24"/>
          <w:szCs w:val="24"/>
          <w:highlight w:val="none"/>
          <w:u w:val="single"/>
          <w:lang w:val="zh-CN" w:eastAsia="zh-CN"/>
        </w:rPr>
        <w:t>(二)</w:t>
      </w:r>
      <w:r>
        <w:rPr>
          <w:rFonts w:hint="eastAsia" w:ascii="仿宋" w:hAnsi="仿宋" w:eastAsia="仿宋" w:cs="仿宋"/>
          <w:sz w:val="24"/>
          <w:szCs w:val="24"/>
          <w:highlight w:val="none"/>
          <w:u w:val="none"/>
          <w:lang w:val="zh-CN" w:eastAsia="zh-CN"/>
        </w:rPr>
        <w:t>种方式解决：</w:t>
      </w:r>
    </w:p>
    <w:p w14:paraId="4A6B274C">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(一)提交西安仲裁委员会仲裁；</w:t>
      </w:r>
    </w:p>
    <w:p w14:paraId="215F71BE">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(二)依法向甲方所在地人民法院起诉。</w:t>
      </w:r>
    </w:p>
    <w:p w14:paraId="5F051781">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十.合同生效</w:t>
      </w:r>
    </w:p>
    <w:p w14:paraId="64FB9256">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(一)本合同经双方签字盖章后生效。</w:t>
      </w:r>
    </w:p>
    <w:p w14:paraId="0A1493FB">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(二)本合同须经甲.乙双方的法定代表人(授权代理人)在合同书上签字 并加盖本单位公章后正式生效。</w:t>
      </w:r>
    </w:p>
    <w:p w14:paraId="67A61FDB">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(三)合同生效后，甲.乙双方须严格执行本合同条款的规定，全面履行合 同，违者按照《中华人民共和国民法典》的有关规定承担相应责任。</w:t>
      </w:r>
    </w:p>
    <w:p w14:paraId="50EBD014">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(四)本合同一式</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none"/>
          <w:lang w:val="zh-CN" w:eastAsia="zh-CN"/>
        </w:rPr>
        <w:t>份，甲方执</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none"/>
          <w:lang w:val="zh-CN" w:eastAsia="zh-CN"/>
        </w:rPr>
        <w:t>份，乙方执</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none"/>
          <w:lang w:val="zh-CN" w:eastAsia="zh-CN"/>
        </w:rPr>
        <w:t>份。</w:t>
      </w:r>
    </w:p>
    <w:p w14:paraId="2DD74392">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(五)本合同如有未尽事宜，甲.乙双方协商解决。</w:t>
      </w:r>
    </w:p>
    <w:p w14:paraId="6EEE0E2A">
      <w:pPr>
        <w:spacing w:line="360" w:lineRule="auto"/>
        <w:ind w:firstLine="480" w:firstLineChars="200"/>
        <w:rPr>
          <w:rFonts w:hint="eastAsia" w:ascii="仿宋" w:hAnsi="仿宋" w:eastAsia="仿宋" w:cs="仿宋"/>
          <w:sz w:val="24"/>
          <w:szCs w:val="24"/>
          <w:highlight w:val="none"/>
          <w:u w:val="none"/>
          <w:lang w:val="zh-CN" w:eastAsia="zh-CN"/>
        </w:rPr>
      </w:pPr>
    </w:p>
    <w:p w14:paraId="401682F3">
      <w:pPr>
        <w:spacing w:line="360" w:lineRule="auto"/>
        <w:ind w:firstLine="480" w:firstLineChars="200"/>
        <w:rPr>
          <w:rFonts w:hint="eastAsia" w:ascii="仿宋" w:hAnsi="仿宋" w:eastAsia="仿宋" w:cs="仿宋"/>
          <w:sz w:val="24"/>
          <w:szCs w:val="24"/>
          <w:highlight w:val="none"/>
          <w:u w:val="none"/>
          <w:lang w:val="zh-CN" w:eastAsia="zh-CN"/>
        </w:rPr>
      </w:pPr>
    </w:p>
    <w:p w14:paraId="3469E236">
      <w:pPr>
        <w:spacing w:line="360" w:lineRule="auto"/>
        <w:ind w:firstLine="480" w:firstLineChars="200"/>
        <w:rPr>
          <w:rFonts w:hint="eastAsia" w:ascii="仿宋" w:hAnsi="仿宋" w:eastAsia="仿宋" w:cs="仿宋"/>
          <w:sz w:val="24"/>
          <w:szCs w:val="24"/>
          <w:highlight w:val="none"/>
          <w:u w:val="none"/>
          <w:lang w:val="zh-CN" w:eastAsia="zh-CN"/>
        </w:rPr>
      </w:pPr>
    </w:p>
    <w:p w14:paraId="1A35B1D2">
      <w:pPr>
        <w:spacing w:line="360" w:lineRule="auto"/>
        <w:ind w:firstLine="480" w:firstLineChars="200"/>
        <w:rPr>
          <w:rFonts w:hint="eastAsia" w:ascii="仿宋" w:hAnsi="仿宋" w:eastAsia="仿宋" w:cs="仿宋"/>
          <w:sz w:val="24"/>
          <w:szCs w:val="24"/>
          <w:highlight w:val="none"/>
          <w:u w:val="none"/>
          <w:lang w:val="zh-CN" w:eastAsia="zh-CN"/>
        </w:rPr>
      </w:pPr>
    </w:p>
    <w:p w14:paraId="5F19B606">
      <w:pPr>
        <w:spacing w:line="360" w:lineRule="auto"/>
        <w:ind w:firstLine="480" w:firstLineChars="200"/>
        <w:rPr>
          <w:rFonts w:hint="eastAsia" w:ascii="仿宋" w:hAnsi="仿宋" w:eastAsia="仿宋" w:cs="仿宋"/>
          <w:sz w:val="24"/>
          <w:szCs w:val="24"/>
          <w:highlight w:val="none"/>
          <w:u w:val="none"/>
          <w:lang w:val="zh-CN" w:eastAsia="zh-CN"/>
        </w:rPr>
      </w:pPr>
    </w:p>
    <w:p w14:paraId="647A925E">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br w:type="page"/>
      </w:r>
    </w:p>
    <w:p w14:paraId="555F1B31">
      <w:pPr>
        <w:spacing w:line="360" w:lineRule="auto"/>
        <w:ind w:firstLine="562" w:firstLineChars="200"/>
        <w:jc w:val="center"/>
        <w:rPr>
          <w:rFonts w:hint="eastAsia" w:ascii="仿宋" w:hAnsi="仿宋" w:eastAsia="仿宋" w:cs="仿宋"/>
          <w:b/>
          <w:bCs/>
          <w:sz w:val="28"/>
          <w:szCs w:val="28"/>
          <w:highlight w:val="none"/>
          <w:u w:val="none"/>
          <w:lang w:val="zh-CN" w:eastAsia="zh-CN"/>
        </w:rPr>
      </w:pPr>
      <w:r>
        <w:rPr>
          <w:rFonts w:hint="eastAsia" w:ascii="仿宋" w:hAnsi="仿宋" w:eastAsia="仿宋" w:cs="仿宋"/>
          <w:b/>
          <w:bCs/>
          <w:sz w:val="28"/>
          <w:szCs w:val="28"/>
          <w:highlight w:val="none"/>
          <w:u w:val="none"/>
          <w:lang w:val="zh-CN" w:eastAsia="zh-CN"/>
        </w:rPr>
        <w:t>企业员工工资发放承诺书</w:t>
      </w:r>
    </w:p>
    <w:p w14:paraId="2CAE6197">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为保障员工合法权益，维护劳动关系和谐稳定，本企业</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none"/>
          <w:lang w:val="zh-CN" w:eastAsia="zh-CN"/>
        </w:rPr>
        <w:t>(统一社会信用代码：</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none"/>
          <w:lang w:val="zh-CN" w:eastAsia="zh-CN"/>
        </w:rPr>
        <w:t>) 郑重承诺如下：</w:t>
      </w:r>
    </w:p>
    <w:p w14:paraId="4306FFD0">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1.按时足额发放：严格遵守《中华人民共和国劳动法》《工资支付暂行规定》 等相关法律法规，每月15日前，以货币形式足额支付员工工资，绝不无故克扣、拖欠。</w:t>
      </w:r>
    </w:p>
    <w:p w14:paraId="13F74D03">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2.规范加班工资计算：员工加班时，严格按照国家规定的标准，核算并支付 加班工资；安排补休的，确保补休符合法律规定。</w:t>
      </w:r>
    </w:p>
    <w:p w14:paraId="33FFFCE4">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3.公开透明：主动向员工公示工资支付制度及相关规定，接受员工监督。如</w:t>
      </w:r>
      <w:bookmarkStart w:id="2" w:name="_GoBack"/>
      <w:bookmarkEnd w:id="2"/>
      <w:r>
        <w:rPr>
          <w:rFonts w:hint="eastAsia" w:ascii="仿宋" w:hAnsi="仿宋" w:eastAsia="仿宋" w:cs="仿宋"/>
          <w:sz w:val="24"/>
          <w:szCs w:val="24"/>
          <w:highlight w:val="none"/>
          <w:u w:val="none"/>
          <w:lang w:val="zh-CN" w:eastAsia="zh-CN"/>
        </w:rPr>
        <w:t>有工资调整.支付周期变更等情况，提前[具体天数，如15日]书面告知员工。</w:t>
      </w:r>
    </w:p>
    <w:p w14:paraId="0E78DBE9">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4.承担法律责任：若违反上述承诺，自愿承担相应法律责任及后果，包括但 不限于支付拖欠工资.赔偿金，接受劳动保障部门行政处罚等。</w:t>
      </w:r>
    </w:p>
    <w:p w14:paraId="1197C978">
      <w:pPr>
        <w:spacing w:line="360" w:lineRule="auto"/>
        <w:ind w:firstLine="480" w:firstLineChars="200"/>
        <w:rPr>
          <w:rFonts w:hint="eastAsia" w:ascii="仿宋" w:hAnsi="仿宋" w:eastAsia="仿宋" w:cs="仿宋"/>
          <w:sz w:val="24"/>
          <w:szCs w:val="24"/>
          <w:highlight w:val="none"/>
          <w:u w:val="none"/>
          <w:lang w:val="zh-CN" w:eastAsia="zh-CN"/>
        </w:rPr>
      </w:pPr>
      <w:r>
        <w:rPr>
          <w:rFonts w:hint="eastAsia" w:ascii="仿宋" w:hAnsi="仿宋" w:eastAsia="仿宋" w:cs="仿宋"/>
          <w:sz w:val="24"/>
          <w:szCs w:val="24"/>
          <w:highlight w:val="none"/>
          <w:u w:val="none"/>
          <w:lang w:val="zh-CN" w:eastAsia="zh-CN"/>
        </w:rPr>
        <w:t>本承诺书自签署之日起生效，本企业将严格履行承诺内容，接受员工.劳 动保障部门及社会监督。</w:t>
      </w:r>
    </w:p>
    <w:p w14:paraId="0B9E163E">
      <w:pPr>
        <w:spacing w:line="265" w:lineRule="auto"/>
        <w:rPr>
          <w:rFonts w:hint="eastAsia" w:ascii="仿宋" w:hAnsi="仿宋" w:eastAsia="仿宋" w:cs="仿宋"/>
          <w:kern w:val="2"/>
          <w:sz w:val="24"/>
          <w:szCs w:val="24"/>
          <w:highlight w:val="none"/>
          <w:lang w:val="zh-CN" w:eastAsia="zh-CN" w:bidi="ar-SA"/>
        </w:rPr>
      </w:pPr>
    </w:p>
    <w:p w14:paraId="6A802EBA">
      <w:pPr>
        <w:spacing w:line="265" w:lineRule="auto"/>
        <w:rPr>
          <w:rFonts w:hint="eastAsia" w:ascii="仿宋" w:hAnsi="仿宋" w:eastAsia="仿宋" w:cs="仿宋"/>
          <w:kern w:val="2"/>
          <w:sz w:val="24"/>
          <w:szCs w:val="24"/>
          <w:highlight w:val="none"/>
          <w:lang w:val="zh-CN" w:eastAsia="zh-CN" w:bidi="ar-SA"/>
        </w:rPr>
      </w:pPr>
    </w:p>
    <w:p w14:paraId="1A68F4C7">
      <w:pPr>
        <w:spacing w:line="265" w:lineRule="auto"/>
        <w:rPr>
          <w:rFonts w:hint="eastAsia" w:ascii="仿宋" w:hAnsi="仿宋" w:eastAsia="仿宋" w:cs="仿宋"/>
          <w:kern w:val="2"/>
          <w:sz w:val="24"/>
          <w:szCs w:val="24"/>
          <w:highlight w:val="none"/>
          <w:lang w:val="zh-CN" w:eastAsia="zh-CN" w:bidi="ar-SA"/>
        </w:rPr>
      </w:pPr>
    </w:p>
    <w:p w14:paraId="597BAFA1">
      <w:pPr>
        <w:spacing w:line="265" w:lineRule="auto"/>
        <w:rPr>
          <w:rFonts w:hint="eastAsia" w:ascii="仿宋" w:hAnsi="仿宋" w:eastAsia="仿宋" w:cs="仿宋"/>
          <w:kern w:val="2"/>
          <w:sz w:val="24"/>
          <w:szCs w:val="24"/>
          <w:highlight w:val="none"/>
          <w:lang w:val="zh-CN" w:eastAsia="zh-CN" w:bidi="ar-SA"/>
        </w:rPr>
      </w:pPr>
    </w:p>
    <w:p w14:paraId="45C45159">
      <w:pPr>
        <w:spacing w:line="265" w:lineRule="auto"/>
        <w:rPr>
          <w:rFonts w:hint="eastAsia" w:ascii="仿宋" w:hAnsi="仿宋" w:eastAsia="仿宋" w:cs="仿宋"/>
          <w:kern w:val="2"/>
          <w:sz w:val="24"/>
          <w:szCs w:val="24"/>
          <w:highlight w:val="none"/>
          <w:lang w:val="zh-CN" w:eastAsia="zh-CN" w:bidi="ar-SA"/>
        </w:rPr>
      </w:pPr>
    </w:p>
    <w:p w14:paraId="46984E2E">
      <w:pPr>
        <w:pStyle w:val="4"/>
        <w:spacing w:before="72" w:line="219" w:lineRule="auto"/>
        <w:ind w:left="3175"/>
        <w:jc w:val="right"/>
        <w:rPr>
          <w:rFonts w:hint="eastAsia" w:ascii="仿宋" w:hAnsi="仿宋" w:eastAsia="仿宋" w:cs="仿宋"/>
          <w:kern w:val="2"/>
          <w:sz w:val="24"/>
          <w:szCs w:val="24"/>
          <w:highlight w:val="none"/>
          <w:lang w:val="zh-CN" w:eastAsia="zh-CN" w:bidi="ar-SA"/>
        </w:rPr>
      </w:pPr>
      <w:r>
        <w:rPr>
          <w:rFonts w:hint="eastAsia" w:ascii="仿宋" w:hAnsi="仿宋" w:eastAsia="仿宋" w:cs="仿宋"/>
          <w:kern w:val="2"/>
          <w:sz w:val="24"/>
          <w:szCs w:val="24"/>
          <w:highlight w:val="none"/>
          <w:lang w:val="zh-CN" w:eastAsia="zh-CN" w:bidi="ar-SA"/>
        </w:rPr>
        <w:t>承诺企业(盖章):</w:t>
      </w:r>
    </w:p>
    <w:p w14:paraId="6CE75D37">
      <w:pPr>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br w:type="page"/>
      </w:r>
    </w:p>
    <w:p w14:paraId="6E18D2CD">
      <w:pPr>
        <w:rPr>
          <w:rFonts w:hint="eastAsia" w:ascii="仿宋" w:hAnsi="仿宋" w:eastAsia="仿宋" w:cs="仿宋"/>
          <w:sz w:val="24"/>
          <w:szCs w:val="24"/>
          <w:highlight w:val="none"/>
          <w:lang w:val="zh-CN"/>
        </w:rPr>
      </w:pPr>
    </w:p>
    <w:tbl>
      <w:tblPr>
        <w:tblStyle w:val="7"/>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8"/>
        <w:gridCol w:w="5242"/>
      </w:tblGrid>
      <w:tr w14:paraId="311B5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8" w:type="pct"/>
            <w:shd w:val="clear" w:color="auto" w:fill="D8D8D8"/>
            <w:noWrap w:val="0"/>
            <w:vAlign w:val="center"/>
          </w:tcPr>
          <w:p w14:paraId="60820A16">
            <w:pPr>
              <w:spacing w:line="360" w:lineRule="auto"/>
              <w:jc w:val="center"/>
              <w:rPr>
                <w:rFonts w:hint="eastAsia" w:ascii="仿宋" w:hAnsi="仿宋" w:eastAsia="仿宋" w:cs="仿宋"/>
                <w:b/>
                <w:color w:val="000000"/>
                <w:highlight w:val="none"/>
              </w:rPr>
            </w:pPr>
            <w:r>
              <w:rPr>
                <w:rFonts w:hint="eastAsia" w:ascii="仿宋" w:hAnsi="仿宋" w:eastAsia="仿宋" w:cs="仿宋"/>
                <w:b/>
                <w:color w:val="000000"/>
                <w:highlight w:val="none"/>
              </w:rPr>
              <w:t>甲  方</w:t>
            </w:r>
          </w:p>
        </w:tc>
        <w:tc>
          <w:tcPr>
            <w:tcW w:w="2631" w:type="pct"/>
            <w:shd w:val="clear" w:color="auto" w:fill="D8D8D8"/>
            <w:noWrap w:val="0"/>
            <w:vAlign w:val="center"/>
          </w:tcPr>
          <w:p w14:paraId="4D623CA3">
            <w:pPr>
              <w:spacing w:line="360" w:lineRule="auto"/>
              <w:jc w:val="center"/>
              <w:rPr>
                <w:rFonts w:hint="eastAsia" w:ascii="仿宋" w:hAnsi="仿宋" w:eastAsia="仿宋" w:cs="仿宋"/>
                <w:b/>
                <w:color w:val="000000"/>
                <w:highlight w:val="none"/>
              </w:rPr>
            </w:pPr>
            <w:r>
              <w:rPr>
                <w:rFonts w:hint="eastAsia" w:ascii="仿宋" w:hAnsi="仿宋" w:eastAsia="仿宋" w:cs="仿宋"/>
                <w:b/>
                <w:color w:val="000000"/>
                <w:highlight w:val="none"/>
              </w:rPr>
              <w:t>乙  方</w:t>
            </w:r>
          </w:p>
        </w:tc>
      </w:tr>
      <w:tr w14:paraId="3F60F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 w:hRule="atLeast"/>
          <w:jc w:val="center"/>
        </w:trPr>
        <w:tc>
          <w:tcPr>
            <w:tcW w:w="2368" w:type="pct"/>
            <w:noWrap w:val="0"/>
            <w:vAlign w:val="center"/>
          </w:tcPr>
          <w:p w14:paraId="6DAF0D7D">
            <w:pPr>
              <w:spacing w:line="360" w:lineRule="auto"/>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采购人</w:t>
            </w:r>
          </w:p>
          <w:p w14:paraId="741993E5">
            <w:pPr>
              <w:spacing w:line="360" w:lineRule="auto"/>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（公章）</w:t>
            </w:r>
          </w:p>
        </w:tc>
        <w:tc>
          <w:tcPr>
            <w:tcW w:w="2631" w:type="pct"/>
            <w:noWrap w:val="0"/>
            <w:vAlign w:val="center"/>
          </w:tcPr>
          <w:p w14:paraId="60DC9260">
            <w:pPr>
              <w:spacing w:line="360" w:lineRule="auto"/>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中标供应商</w:t>
            </w:r>
          </w:p>
          <w:p w14:paraId="5DE74DEA">
            <w:pPr>
              <w:spacing w:line="360" w:lineRule="auto"/>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（公章）</w:t>
            </w:r>
          </w:p>
        </w:tc>
      </w:tr>
      <w:tr w14:paraId="58B82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8" w:type="pct"/>
            <w:noWrap w:val="0"/>
            <w:vAlign w:val="center"/>
          </w:tcPr>
          <w:p w14:paraId="4AAFE675">
            <w:pPr>
              <w:spacing w:line="360" w:lineRule="auto"/>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地址：</w:t>
            </w:r>
          </w:p>
        </w:tc>
        <w:tc>
          <w:tcPr>
            <w:tcW w:w="2631" w:type="pct"/>
            <w:noWrap w:val="0"/>
            <w:vAlign w:val="center"/>
          </w:tcPr>
          <w:p w14:paraId="54CA6443">
            <w:pPr>
              <w:spacing w:line="360" w:lineRule="auto"/>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地址：</w:t>
            </w:r>
          </w:p>
        </w:tc>
      </w:tr>
      <w:tr w14:paraId="0AF76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8" w:type="pct"/>
            <w:noWrap w:val="0"/>
            <w:vAlign w:val="center"/>
          </w:tcPr>
          <w:p w14:paraId="528EF6B5">
            <w:pPr>
              <w:spacing w:line="360" w:lineRule="auto"/>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邮编：</w:t>
            </w:r>
          </w:p>
        </w:tc>
        <w:tc>
          <w:tcPr>
            <w:tcW w:w="2631" w:type="pct"/>
            <w:noWrap w:val="0"/>
            <w:vAlign w:val="center"/>
          </w:tcPr>
          <w:p w14:paraId="0E375873">
            <w:pPr>
              <w:spacing w:line="360" w:lineRule="auto"/>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邮编：</w:t>
            </w:r>
          </w:p>
        </w:tc>
      </w:tr>
      <w:tr w14:paraId="72413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8" w:type="pct"/>
            <w:noWrap w:val="0"/>
            <w:vAlign w:val="center"/>
          </w:tcPr>
          <w:p w14:paraId="006B4AB4">
            <w:pPr>
              <w:spacing w:line="360" w:lineRule="auto"/>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法定代表人：</w:t>
            </w:r>
          </w:p>
        </w:tc>
        <w:tc>
          <w:tcPr>
            <w:tcW w:w="2631" w:type="pct"/>
            <w:noWrap w:val="0"/>
            <w:vAlign w:val="center"/>
          </w:tcPr>
          <w:p w14:paraId="24CB8E02">
            <w:pPr>
              <w:spacing w:line="360" w:lineRule="auto"/>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法定代表人：</w:t>
            </w:r>
          </w:p>
        </w:tc>
      </w:tr>
      <w:tr w14:paraId="73A30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8" w:type="pct"/>
            <w:noWrap w:val="0"/>
            <w:vAlign w:val="center"/>
          </w:tcPr>
          <w:p w14:paraId="5F160D13">
            <w:pPr>
              <w:spacing w:line="360" w:lineRule="auto"/>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负责人</w:t>
            </w:r>
            <w:r>
              <w:rPr>
                <w:rFonts w:hint="eastAsia" w:ascii="仿宋" w:hAnsi="仿宋" w:eastAsia="仿宋" w:cs="仿宋"/>
                <w:color w:val="000000"/>
                <w:sz w:val="24"/>
                <w:szCs w:val="24"/>
                <w:highlight w:val="none"/>
              </w:rPr>
              <w:t>：（签字）</w:t>
            </w:r>
          </w:p>
        </w:tc>
        <w:tc>
          <w:tcPr>
            <w:tcW w:w="2631" w:type="pct"/>
            <w:noWrap w:val="0"/>
            <w:vAlign w:val="center"/>
          </w:tcPr>
          <w:p w14:paraId="75C1EB0C">
            <w:pPr>
              <w:spacing w:line="360" w:lineRule="auto"/>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负责人</w:t>
            </w:r>
            <w:r>
              <w:rPr>
                <w:rFonts w:hint="eastAsia" w:ascii="仿宋" w:hAnsi="仿宋" w:eastAsia="仿宋" w:cs="仿宋"/>
                <w:color w:val="000000"/>
                <w:sz w:val="24"/>
                <w:szCs w:val="24"/>
                <w:highlight w:val="none"/>
              </w:rPr>
              <w:t>：（签字）</w:t>
            </w:r>
          </w:p>
        </w:tc>
      </w:tr>
      <w:tr w14:paraId="78C96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8" w:type="pct"/>
            <w:noWrap w:val="0"/>
            <w:vAlign w:val="center"/>
          </w:tcPr>
          <w:p w14:paraId="12300305">
            <w:pPr>
              <w:spacing w:line="360" w:lineRule="auto"/>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电话：</w:t>
            </w:r>
          </w:p>
        </w:tc>
        <w:tc>
          <w:tcPr>
            <w:tcW w:w="2631" w:type="pct"/>
            <w:noWrap w:val="0"/>
            <w:vAlign w:val="center"/>
          </w:tcPr>
          <w:p w14:paraId="3452525D">
            <w:pPr>
              <w:spacing w:line="360" w:lineRule="auto"/>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电话：</w:t>
            </w:r>
          </w:p>
        </w:tc>
      </w:tr>
      <w:tr w14:paraId="209D8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8" w:type="pct"/>
            <w:noWrap w:val="0"/>
            <w:vAlign w:val="center"/>
          </w:tcPr>
          <w:p w14:paraId="071C0080">
            <w:pPr>
              <w:spacing w:line="360" w:lineRule="auto"/>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传真：</w:t>
            </w:r>
          </w:p>
        </w:tc>
        <w:tc>
          <w:tcPr>
            <w:tcW w:w="2631" w:type="pct"/>
            <w:noWrap w:val="0"/>
            <w:vAlign w:val="center"/>
          </w:tcPr>
          <w:p w14:paraId="50E26A4B">
            <w:pPr>
              <w:spacing w:line="360" w:lineRule="auto"/>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传真：</w:t>
            </w:r>
          </w:p>
        </w:tc>
      </w:tr>
      <w:tr w14:paraId="4D282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8" w:type="pct"/>
            <w:noWrap w:val="0"/>
            <w:vAlign w:val="center"/>
          </w:tcPr>
          <w:p w14:paraId="6202274A">
            <w:pPr>
              <w:spacing w:line="360" w:lineRule="auto"/>
              <w:jc w:val="both"/>
              <w:rPr>
                <w:rFonts w:hint="eastAsia" w:ascii="仿宋" w:hAnsi="仿宋" w:eastAsia="仿宋" w:cs="仿宋"/>
                <w:color w:val="000000"/>
                <w:sz w:val="24"/>
                <w:szCs w:val="24"/>
                <w:highlight w:val="none"/>
              </w:rPr>
            </w:pPr>
          </w:p>
        </w:tc>
        <w:tc>
          <w:tcPr>
            <w:tcW w:w="2631" w:type="pct"/>
            <w:noWrap w:val="0"/>
            <w:vAlign w:val="center"/>
          </w:tcPr>
          <w:p w14:paraId="59443EF9">
            <w:pPr>
              <w:spacing w:line="360" w:lineRule="auto"/>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开户银行：</w:t>
            </w:r>
          </w:p>
        </w:tc>
      </w:tr>
      <w:tr w14:paraId="20CF2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8" w:type="pct"/>
            <w:noWrap w:val="0"/>
            <w:vAlign w:val="center"/>
          </w:tcPr>
          <w:p w14:paraId="21723E40">
            <w:pPr>
              <w:spacing w:line="360" w:lineRule="auto"/>
              <w:jc w:val="both"/>
              <w:rPr>
                <w:rFonts w:hint="eastAsia" w:ascii="仿宋" w:hAnsi="仿宋" w:eastAsia="仿宋" w:cs="仿宋"/>
                <w:color w:val="000000"/>
                <w:sz w:val="24"/>
                <w:szCs w:val="24"/>
                <w:highlight w:val="none"/>
              </w:rPr>
            </w:pPr>
          </w:p>
        </w:tc>
        <w:tc>
          <w:tcPr>
            <w:tcW w:w="2631" w:type="pct"/>
            <w:noWrap w:val="0"/>
            <w:vAlign w:val="center"/>
          </w:tcPr>
          <w:p w14:paraId="28BA7BC7">
            <w:pPr>
              <w:spacing w:line="360" w:lineRule="auto"/>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账号：</w:t>
            </w:r>
          </w:p>
        </w:tc>
      </w:tr>
      <w:tr w14:paraId="725D8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8" w:type="pct"/>
            <w:noWrap w:val="0"/>
            <w:vAlign w:val="center"/>
          </w:tcPr>
          <w:p w14:paraId="58626421">
            <w:pPr>
              <w:spacing w:line="360" w:lineRule="auto"/>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日期：   年  月  日</w:t>
            </w:r>
          </w:p>
        </w:tc>
        <w:tc>
          <w:tcPr>
            <w:tcW w:w="2631" w:type="pct"/>
            <w:noWrap w:val="0"/>
            <w:vAlign w:val="center"/>
          </w:tcPr>
          <w:p w14:paraId="72F5D1A1">
            <w:pPr>
              <w:spacing w:line="360" w:lineRule="auto"/>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日期：   年  月  日</w:t>
            </w:r>
          </w:p>
        </w:tc>
      </w:tr>
    </w:tbl>
    <w:p w14:paraId="71F11DF6">
      <w:pPr>
        <w:pStyle w:val="5"/>
        <w:rPr>
          <w:rFonts w:hint="eastAsia" w:ascii="宋体" w:hAnsi="宋体" w:eastAsia="宋体" w:cs="宋体"/>
          <w:highlight w:val="none"/>
        </w:rPr>
      </w:pPr>
    </w:p>
    <w:p w14:paraId="4A4EA0D4"/>
    <w:sectPr>
      <w:footerReference r:id="rId3" w:type="default"/>
      <w:pgSz w:w="11906" w:h="16838"/>
      <w:pgMar w:top="1440" w:right="1080" w:bottom="1440" w:left="108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F"/>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007172">
    <w:pPr>
      <w:spacing w:line="14" w:lineRule="auto"/>
      <w:rPr>
        <w:rFonts w:ascii="Arial"/>
        <w:sz w:val="2"/>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6F4A95"/>
    <w:rsid w:val="1E8C2AB3"/>
    <w:rsid w:val="306F4A95"/>
    <w:rsid w:val="62EA1B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Light" w:hAnsi="Calibri Light" w:eastAsia="华文仿宋" w:cs="Times New Roman"/>
      <w:kern w:val="2"/>
      <w:sz w:val="21"/>
      <w:szCs w:val="24"/>
      <w:lang w:val="en-US" w:eastAsia="zh-CN" w:bidi="ar-SA"/>
    </w:rPr>
  </w:style>
  <w:style w:type="paragraph" w:styleId="2">
    <w:name w:val="heading 1"/>
    <w:basedOn w:val="1"/>
    <w:next w:val="1"/>
    <w:qFormat/>
    <w:uiPriority w:val="0"/>
    <w:pPr>
      <w:keepNext/>
      <w:jc w:val="center"/>
      <w:outlineLvl w:val="0"/>
    </w:pPr>
    <w:rPr>
      <w:rFonts w:ascii="黑体" w:eastAsia="黑体"/>
      <w:sz w:val="28"/>
    </w:rPr>
  </w:style>
  <w:style w:type="paragraph" w:styleId="3">
    <w:name w:val="heading 4"/>
    <w:basedOn w:val="1"/>
    <w:next w:val="1"/>
    <w:unhideWhenUsed/>
    <w:qFormat/>
    <w:uiPriority w:val="0"/>
    <w:pPr>
      <w:keepNext/>
      <w:keepLines/>
      <w:spacing w:beforeLines="0" w:beforeAutospacing="0" w:afterLines="0" w:afterAutospacing="0" w:line="360" w:lineRule="auto"/>
      <w:outlineLvl w:val="3"/>
    </w:pPr>
    <w:rPr>
      <w:rFonts w:ascii="Arial" w:hAnsi="Arial" w:eastAsia="宋体"/>
      <w:b/>
      <w:sz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0"/>
  </w:style>
  <w:style w:type="paragraph" w:styleId="5">
    <w:name w:val="footer"/>
    <w:basedOn w:val="1"/>
    <w:next w:val="4"/>
    <w:qFormat/>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9">
    <w:name w:val="标题2"/>
    <w:basedOn w:val="3"/>
    <w:next w:val="1"/>
    <w:qFormat/>
    <w:uiPriority w:val="0"/>
    <w:pPr>
      <w:tabs>
        <w:tab w:val="left" w:pos="864"/>
      </w:tabs>
      <w:spacing w:before="0" w:beforeLines="50" w:after="0" w:afterLines="50" w:line="360" w:lineRule="auto"/>
      <w:ind w:firstLine="397" w:firstLineChars="0"/>
      <w:jc w:val="left"/>
    </w:pPr>
    <w:rPr>
      <w:rFonts w:ascii="黑体" w:hAnsi="宋体" w:eastAsia="宋体" w:cs="黑体"/>
      <w:kern w:val="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4316</Words>
  <Characters>4413</Characters>
  <Lines>0</Lines>
  <Paragraphs>0</Paragraphs>
  <TotalTime>9</TotalTime>
  <ScaleCrop>false</ScaleCrop>
  <LinksUpToDate>false</LinksUpToDate>
  <CharactersWithSpaces>4553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2026-04-23T10:01:00Z</dcterms:created>
  <dc:creator>MY WAY、</dc:creator>
  <cp:lastModifiedBy>MY WAY、</cp:lastModifiedBy>
  <dcterms:modified xsi:type="dcterms:W3CDTF">2026-05-27T03:28:29Z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72BF014FCF984042A2BE540D6421B3D1_11</vt:lpwstr>
  </property>
  <property fmtid="{D5CDD505-2E9C-101B-9397-08002B2CF9AE}" pid="4" name="KSOTemplateDocerSaveRecord">
    <vt:lpwstr>eyJoZGlkIjoiMzVkZTQ4OGViM2VhM2ExY2JiNThhYmU1NmE2MWE2NzMiLCJ1c2VySWQiOiI2MTg4NTQ0MzUifQ==</vt:lpwstr>
  </property>
</Properties>
</file>