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版本号：SXBPRZB-2026071420260716001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略阳县文旅局灵岩寺望江楼及一门二门屋面维修改造保护工程项目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SXBPRZB-20260714</w:t>
      </w:r>
      <w:r>
        <w:br/>
      </w:r>
      <w:r>
        <w:br/>
      </w:r>
      <w:r>
        <w:br/>
      </w:r>
    </w:p>
    <w:p>
      <w:pPr>
        <w:pStyle w:val="null3"/>
        <w:jc w:val="center"/>
        <w:outlineLvl w:val="2"/>
      </w:pPr>
      <w:r>
        <w:rPr>
          <w:rFonts w:ascii="仿宋_GB2312" w:hAnsi="仿宋_GB2312" w:cs="仿宋_GB2312" w:eastAsia="仿宋_GB2312"/>
          <w:sz w:val="28"/>
          <w:b/>
        </w:rPr>
        <w:t>略阳县文化和旅游局</w:t>
      </w:r>
    </w:p>
    <w:p>
      <w:pPr>
        <w:pStyle w:val="null3"/>
        <w:jc w:val="center"/>
        <w:outlineLvl w:val="2"/>
      </w:pPr>
      <w:r>
        <w:rPr>
          <w:rFonts w:ascii="仿宋_GB2312" w:hAnsi="仿宋_GB2312" w:cs="仿宋_GB2312" w:eastAsia="仿宋_GB2312"/>
          <w:sz w:val="28"/>
          <w:b/>
        </w:rPr>
        <w:t>陕西博鹏瑞项目管理有限公司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陕西博鹏瑞项目管理有限公司</w:t>
      </w:r>
      <w:r>
        <w:rPr>
          <w:rFonts w:ascii="仿宋_GB2312" w:hAnsi="仿宋_GB2312" w:cs="仿宋_GB2312" w:eastAsia="仿宋_GB2312"/>
        </w:rPr>
        <w:t>（以下简称“代理机构”）受</w:t>
      </w:r>
      <w:r>
        <w:rPr>
          <w:rFonts w:ascii="仿宋_GB2312" w:hAnsi="仿宋_GB2312" w:cs="仿宋_GB2312" w:eastAsia="仿宋_GB2312"/>
        </w:rPr>
        <w:t>略阳县文化和旅游局</w:t>
      </w:r>
      <w:r>
        <w:rPr>
          <w:rFonts w:ascii="仿宋_GB2312" w:hAnsi="仿宋_GB2312" w:cs="仿宋_GB2312" w:eastAsia="仿宋_GB2312"/>
        </w:rPr>
        <w:t>委托，拟对</w:t>
      </w:r>
      <w:r>
        <w:rPr>
          <w:rFonts w:ascii="仿宋_GB2312" w:hAnsi="仿宋_GB2312" w:cs="仿宋_GB2312" w:eastAsia="仿宋_GB2312"/>
        </w:rPr>
        <w:t>略阳县文旅局灵岩寺望江楼及一门二门屋面维修改造保护工程项目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SXBPRZB-20260714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略阳县文旅局灵岩寺望江楼及一门二门屋面维修改造保护工程项目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原有屋面拆除及维修改造更换腐朽的標条、橡子、瓦片防水等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采购包1（略阳县文旅局灵岩寺望江楼及一门二门屋面维修改造保护工程项目）：属于专门面向中小企业采购。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定代表人、其他组织或自然人，营业执照、组织机构代码证、税务登记证（多证合一只提供营业执照，事业单位提供事业单位法定代表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3、供应商资质要求：供应商具有古建筑工程专业承包二级及以上资质等级，且具有有效的安全生产许可证；</w:t>
      </w:r>
    </w:p>
    <w:p>
      <w:pPr>
        <w:pStyle w:val="null3"/>
      </w:pPr>
      <w:r>
        <w:rPr>
          <w:rFonts w:ascii="仿宋_GB2312" w:hAnsi="仿宋_GB2312" w:cs="仿宋_GB2312" w:eastAsia="仿宋_GB2312"/>
        </w:rPr>
        <w:t>4、项目经理资质：拟派项目经理须具备建筑工程二级及以上注册建造师资格执业资格和安全生产考核合格B证，在本单位注册且未担任其他在建工程的项目负责人。</w:t>
      </w:r>
    </w:p>
    <w:p>
      <w:pPr>
        <w:pStyle w:val="null3"/>
      </w:pPr>
      <w:r>
        <w:rPr>
          <w:rFonts w:ascii="仿宋_GB2312" w:hAnsi="仿宋_GB2312" w:cs="仿宋_GB2312" w:eastAsia="仿宋_GB2312"/>
        </w:rPr>
        <w:t>5、承诺函：响应《汉中市政府采购供应商资格承诺函》</w:t>
      </w:r>
    </w:p>
    <w:p>
      <w:pPr>
        <w:pStyle w:val="null3"/>
      </w:pPr>
      <w:r>
        <w:rPr>
          <w:rFonts w:ascii="仿宋_GB2312" w:hAnsi="仿宋_GB2312" w:cs="仿宋_GB2312" w:eastAsia="仿宋_GB2312"/>
        </w:rPr>
        <w:t>6、非联合体声明：本项目不接受联合体投标，供应商需提供非联合体书面声明。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陕西省汉中市略阳县羌文化广场文化馆</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略阳县文化和旅游局经办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4831302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陕西博鹏瑞项目管理有限公司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陕西省汉中市汉台区兴汉路南缙颐·久玺台售楼部 2 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18109163581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采购包1：613,508.83元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开户名称：陕西博鹏瑞项目管理有限公司</w:t>
            </w:r>
          </w:p>
          <w:p>
            <w:pPr>
              <w:pStyle w:val="null3"/>
            </w:pPr>
            <w:r>
              <w:rPr>
                <w:rFonts w:ascii="仿宋_GB2312" w:hAnsi="仿宋_GB2312" w:cs="仿宋_GB2312" w:eastAsia="仿宋_GB2312"/>
              </w:rPr>
              <w:t>开户银行：工行汉中人民路支行</w:t>
            </w:r>
          </w:p>
          <w:p>
            <w:pPr>
              <w:pStyle w:val="null3"/>
            </w:pPr>
            <w:r>
              <w:rPr>
                <w:rFonts w:ascii="仿宋_GB2312" w:hAnsi="仿宋_GB2312" w:cs="仿宋_GB2312" w:eastAsia="仿宋_GB2312"/>
              </w:rPr>
              <w:t>银行账号：2606053619200259834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代理服务费收费标准：参照计价格【2011】534号文件以及【计价格[2002]1980号】磋商代理服务收费标准计取。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略阳县文化和旅游局</w:t>
      </w:r>
      <w:r>
        <w:rPr>
          <w:rFonts w:ascii="仿宋_GB2312" w:hAnsi="仿宋_GB2312" w:cs="仿宋_GB2312" w:eastAsia="仿宋_GB2312"/>
        </w:rPr>
        <w:t>和</w:t>
      </w:r>
      <w:r>
        <w:rPr>
          <w:rFonts w:ascii="仿宋_GB2312" w:hAnsi="仿宋_GB2312" w:cs="仿宋_GB2312" w:eastAsia="仿宋_GB2312"/>
        </w:rPr>
        <w:t>陕西博鹏瑞项目管理有限公司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陕西博鹏瑞项目管理有限公司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陕西博鹏瑞项目管理有限公司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联系电话：18109163581</w:t>
      </w:r>
    </w:p>
    <w:p>
      <w:pPr>
        <w:pStyle w:val="null3"/>
      </w:pPr>
      <w:r>
        <w:rPr>
          <w:rFonts w:ascii="仿宋_GB2312" w:hAnsi="仿宋_GB2312" w:cs="仿宋_GB2312" w:eastAsia="仿宋_GB2312"/>
        </w:rPr>
        <w:t>地址：汉台区兴汉路南缙颐·久玺台售楼部 2 楼</w:t>
      </w:r>
    </w:p>
    <w:p>
      <w:pPr>
        <w:pStyle w:val="null3"/>
      </w:pPr>
      <w:r>
        <w:rPr>
          <w:rFonts w:ascii="仿宋_GB2312" w:hAnsi="仿宋_GB2312" w:cs="仿宋_GB2312" w:eastAsia="仿宋_GB2312"/>
        </w:rPr>
        <w:t>邮编：723200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613,508.83</w:t>
      </w:r>
    </w:p>
    <w:p>
      <w:pPr>
        <w:pStyle w:val="null3"/>
      </w:pPr>
      <w:r>
        <w:rPr>
          <w:rFonts w:ascii="仿宋_GB2312" w:hAnsi="仿宋_GB2312" w:cs="仿宋_GB2312" w:eastAsia="仿宋_GB2312"/>
        </w:rPr>
        <w:t>采购包最高限价（元）: 613,508.83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灵岩寺望江楼及一门二门屋面维修改造保护</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613,508.83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标的名称：灵岩寺望江楼及一门二门屋面维修改造保护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:60日历天。</w:t>
            </w:r>
            <w:r>
              <w:br/>
            </w:r>
            <w:r>
              <w:rPr>
                <w:rFonts w:ascii="仿宋_GB2312" w:hAnsi="仿宋_GB2312" w:cs="仿宋_GB2312" w:eastAsia="仿宋_GB2312"/>
                <w:sz w:val="21"/>
              </w:rPr>
              <w:t>施工要求</w:t>
            </w:r>
            <w:r>
              <w:rPr>
                <w:rFonts w:ascii="仿宋_GB2312" w:hAnsi="仿宋_GB2312" w:cs="仿宋_GB2312" w:eastAsia="仿宋_GB2312"/>
                <w:sz w:val="21"/>
              </w:rPr>
              <w:t>:在施工期间，中标供应商必须注意人员安全，加强安全措施，并定期对施工人员进行安全教育，且特种作业施工人员必须持证上岗。</w:t>
            </w:r>
          </w:p>
          <w:p>
            <w:pPr>
              <w:pStyle w:val="null3"/>
            </w:pPr>
            <w:r>
              <w:rPr>
                <w:rFonts w:ascii="仿宋_GB2312" w:hAnsi="仿宋_GB2312" w:cs="仿宋_GB2312" w:eastAsia="仿宋_GB2312"/>
                <w:sz w:val="21"/>
              </w:rPr>
              <w:t>质量标准</w:t>
            </w:r>
            <w:r>
              <w:rPr>
                <w:rFonts w:ascii="仿宋_GB2312" w:hAnsi="仿宋_GB2312" w:cs="仿宋_GB2312" w:eastAsia="仿宋_GB2312"/>
                <w:sz w:val="21"/>
              </w:rPr>
              <w:t>:</w:t>
            </w:r>
            <w:r>
              <w:rPr>
                <w:rFonts w:ascii="仿宋_GB2312" w:hAnsi="仿宋_GB2312" w:cs="仿宋_GB2312" w:eastAsia="仿宋_GB2312"/>
                <w:sz w:val="21"/>
              </w:rPr>
              <w:t>符合国家及⾏业验收合格标准</w:t>
            </w:r>
            <w:r>
              <w:rPr>
                <w:rFonts w:ascii="仿宋_GB2312" w:hAnsi="仿宋_GB2312" w:cs="仿宋_GB2312" w:eastAsia="仿宋_GB2312"/>
                <w:sz w:val="21"/>
              </w:rPr>
              <w:t>。</w:t>
            </w:r>
          </w:p>
          <w:p>
            <w:pPr>
              <w:pStyle w:val="null3"/>
            </w:pPr>
            <w:r>
              <w:rPr>
                <w:rFonts w:ascii="仿宋_GB2312" w:hAnsi="仿宋_GB2312" w:cs="仿宋_GB2312" w:eastAsia="仿宋_GB2312"/>
                <w:sz w:val="21"/>
              </w:rPr>
              <w:t>施⼯范围：⼯程量清单内所含的全部内容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技术要求详见本⼯程施⼯图纸及⼯程量清单;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具有独立承担民事责任能力的法定代表人、其他组织或自然人，营业执照、组织机构代码证、税务登记证（多证合一只提供营业执照，事业单位提供事业单位法定代表人证书，自然人提供本人身份证）合法有效；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供应商具有古建筑工程专业承包二级及以上资质等级，且具有有效的安全生产许可证；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拟派项目经理须具备建筑工程二级及以上注册建造师资格执业资格和安全生产考核合格B证，在本单位注册且未担任其他在建工程的项目负责人。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响应《汉中市政府采购供应商资格承诺函》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文件有效期符合采购文件要求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响应⽂件内容⻬全、⽆遗漏、均按采购⽂件要求签字盖章、无采购人不能接受的附加条件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供应商应提交的相关资格证明材料.docx 项目管理机构组成表 残疾人福利性单位声明函 报价函 标的清单 供应商类似项目业绩一览表 响应函 主要人员简历表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不得提交选择性报价且投标报价未超过最高限价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具体施工内容；③施工方法；④重点难点工程分析及解决措施；⑤影响正常施工外在因素分析及对应预案等。评审标准:各项内容全面详细、阐述条理清晰详尽、符合本项目采购需求、能有效保障本项目实施得15分；每缺一项扣3分，每项内容存在1项缺陷，扣0.5分。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目标管理体系②质量管理工作流程；③工程质量保障方案；等。评审标准:各项内容全面详细、阐述条理清晰详尽、符合本项目采购需求、能有效保障本项目实施得9分；每缺一项扣3分，每项内容存在1项缺陷，扣0.5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能有效保障本项目实施得10分；每缺一项扣2分，每项内容存在1项缺陷，扣0.5分，扣完为止 。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内容包括但不限于①文明及环境保护体系及管理制度；②文明施工及环境保护相关措施。评审标准：各项内容全面详细、阐述条理清晰详尽、符合本项目采购需求、能有效保障本项目实施得4分:每缺一项扣2分， 每项内容存在1项缺陷，扣0.5分，扣完为止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10分；每缺一项扣2分，每项内容存在1项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文物保护专项措施</w:t>
            </w:r>
          </w:p>
        </w:tc>
        <w:tc>
          <w:tcPr>
            <w:tcW w:type="dxa" w:w="2492"/>
          </w:tcPr>
          <w:p>
            <w:pPr>
              <w:pStyle w:val="null3"/>
            </w:pPr>
            <w:r>
              <w:rPr>
                <w:rFonts w:ascii="仿宋_GB2312" w:hAnsi="仿宋_GB2312" w:cs="仿宋_GB2312" w:eastAsia="仿宋_GB2312"/>
              </w:rPr>
              <w:t>内容包括但不限于①文物保护管理体系; ②文物保护措施。评审标准:各项内容全面详细、阐述条理清晰详尽、符合本项目采购需求、 能有效保障本项目实施得5分；每缺一项扣2.5分，每项内容存在1项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后续服务承诺</w:t>
            </w:r>
          </w:p>
        </w:tc>
        <w:tc>
          <w:tcPr>
            <w:tcW w:type="dxa" w:w="2492"/>
          </w:tcPr>
          <w:p>
            <w:pPr>
              <w:pStyle w:val="null3"/>
            </w:pPr>
            <w:r>
              <w:rPr>
                <w:rFonts w:ascii="仿宋_GB2312" w:hAnsi="仿宋_GB2312" w:cs="仿宋_GB2312" w:eastAsia="仿宋_GB2312"/>
              </w:rPr>
              <w:t>提供具体可行并符合国家相关保修规范的售后服务措施及承诺；提供得3分，未提供不得分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供应商须提供 2023年7月至今已完成的相关类似业绩，提供合同的复印件并加盖单位公章，以合同的签订日期为准。每提供1份得2分，最多得4分，未提供或提供的合同内容模糊无法辨认得0分。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①配备技术负责人，技术负责人具备工程类中级及以上职称及本单位社保缴费证明（近六个月内任意3个月）；2.5分，人员资料不全得0分；②配备施工员、质量员（质检员）、安全员、材料员、资料员，人员需具有相应岗位证书、身份证及本单位社保缴费证明（近六个月内任意3个月）；每提供一人得1.5分，满分7.5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 磋商报价得分=（磋商基准价/磋商报价）×价格权值（即30%）×100 注：1、磋商小组三分之二以上成员认为某报价有低于成本价嫌疑的，涉嫌不正当竞争的，为无效报价。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