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版本号：ZLC-XA-202600820260716001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西安市城市道路与临街空间一体化设计导则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ZLC-XA-2026008</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西安众力诚工程项目管理有限公司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西安众力诚工程项目管理有限公司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西安市城市道路与临街空间一体化设计导则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ZLC-XA-2026008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西安市城市道路与临街空间一体化设计导则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西安市加强城市道路规划建设管理和重塑临街空间管理实施方案》(市政办发〔2025〕13号)工作安排，我局负责组织编制《西安市城市道路与临街空间一体化设计导则》。主要深入探讨临街空间一体化设计的策略和设计要求，从空间利用、功能分类、 要素设计等方面进行研究。通过刚性约束条件和弹性设计手法相结 合的方式，旨在重塑街道空间活力开放、安全高效、环境美观的临 街空间形象。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7、履行合同承诺：供应商具备履行合同所必需的设备和专业技术能力；</w:t>
      </w:r>
    </w:p>
    <w:p>
      <w:pPr>
        <w:pStyle w:val="null3"/>
      </w:pPr>
      <w:r>
        <w:rPr>
          <w:rFonts w:ascii="仿宋_GB2312" w:hAnsi="仿宋_GB2312" w:cs="仿宋_GB2312" w:eastAsia="仿宋_GB2312"/>
        </w:rPr>
        <w:t>8、资质要求：供应商须具备城乡规划编制甲级资质；</w:t>
      </w:r>
    </w:p>
    <w:p>
      <w:pPr>
        <w:pStyle w:val="null3"/>
      </w:pPr>
      <w:r>
        <w:rPr>
          <w:rFonts w:ascii="仿宋_GB2312" w:hAnsi="仿宋_GB2312" w:cs="仿宋_GB2312" w:eastAsia="仿宋_GB2312"/>
        </w:rPr>
        <w:t>9、授权书：法定代表人授权委托书：法定代表人直接参加开标的，须出具法定代表人身份证及法定代表人身份证明，法定代表人授权代表参加开标的，须出具法定代表人授权书；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西安市未央区凤城九路139号市级机关凤城九路办公区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姚佩超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西安众力诚工程项目管理有限公司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西安市经济技术开发区凤城九路海博广场C座5幢1单元3-315室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029-83228339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中标单位在领取中标通知书前，须向招标代理机构一次性支付招标代理服务费。 招标代理服务费账户： 户名：西安众力诚工程项目管理有限公司 开户行：中国银行股份有限公司西安西影路东段支行 账 号：103292368638 联系电话：029-83228339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西安众力诚工程项目管理有限公司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西安众力诚工程项目管理有限公司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西安众力诚工程项目管理有限公司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合同要求，编制完成《西安市城市道路与临街空间一体化设计导则》,成果质量符合国家标准、行业规范、自然资源部、陕西省政府、陕西省自然资源厅、西安市政府、西安市自然资源和规划局的相关要求，并通过采购人组织的专家验收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西安市自然资源和规划局（本级）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联系人：郝晋</w:t>
      </w:r>
    </w:p>
    <w:p>
      <w:pPr>
        <w:pStyle w:val="null3"/>
      </w:pPr>
      <w:r>
        <w:rPr>
          <w:rFonts w:ascii="仿宋_GB2312" w:hAnsi="仿宋_GB2312" w:cs="仿宋_GB2312" w:eastAsia="仿宋_GB2312"/>
        </w:rPr>
        <w:t>联系电话：029-83228339</w:t>
      </w:r>
    </w:p>
    <w:p>
      <w:pPr>
        <w:pStyle w:val="null3"/>
      </w:pPr>
      <w:r>
        <w:rPr>
          <w:rFonts w:ascii="仿宋_GB2312" w:hAnsi="仿宋_GB2312" w:cs="仿宋_GB2312" w:eastAsia="仿宋_GB2312"/>
        </w:rPr>
        <w:t>地址：西安市经济技术开发区凤城九路海博广场C座5幢1单元3-315室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西安市加强城市道路规划建设管理和重塑临街空间管理实施方案》(市政办发〔2025〕13号)工作安排，我局负责组织编制《西安市城市道路与临街空间一体化设计导则》。主要深入探讨临街空间一体化设计的策略和设计要求，从空间利用、功能分类、要素设计等方面进行研究。通过刚性约束条件和弹性设计手法相结合的方式，旨在重塑街道空间活力开放、安全高效、环境美观的临街空间形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西安市城市道路与临街空间一体化设计导则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标的名称：西安市城市道路与临街空间一体化设计导则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一服务内容</w:t>
            </w:r>
          </w:p>
          <w:p>
            <w:pPr>
              <w:pStyle w:val="null3"/>
              <w:ind w:firstLine="480"/>
              <w:jc w:val="left"/>
            </w:pPr>
            <w:r>
              <w:rPr>
                <w:rFonts w:ascii="仿宋_GB2312" w:hAnsi="仿宋_GB2312" w:cs="仿宋_GB2312" w:eastAsia="仿宋_GB2312"/>
                <w:sz w:val="24"/>
                <w:color w:val="0000FF"/>
              </w:rPr>
              <w:t>(一)项目范围</w:t>
            </w:r>
          </w:p>
          <w:p>
            <w:pPr>
              <w:pStyle w:val="null3"/>
              <w:ind w:firstLine="480"/>
              <w:jc w:val="left"/>
            </w:pPr>
            <w:r>
              <w:rPr>
                <w:rFonts w:ascii="仿宋_GB2312" w:hAnsi="仿宋_GB2312" w:cs="仿宋_GB2312" w:eastAsia="仿宋_GB2312"/>
                <w:sz w:val="24"/>
                <w:color w:val="0000FF"/>
              </w:rPr>
              <w:t>城市道路与临街空间一体化设计导则研究范围为西安市域，重点范围为西安中心城区。</w:t>
            </w:r>
          </w:p>
          <w:p>
            <w:pPr>
              <w:pStyle w:val="null3"/>
              <w:ind w:firstLine="480"/>
              <w:jc w:val="left"/>
            </w:pPr>
            <w:r>
              <w:rPr>
                <w:rFonts w:ascii="仿宋_GB2312" w:hAnsi="仿宋_GB2312" w:cs="仿宋_GB2312" w:eastAsia="仿宋_GB2312"/>
                <w:sz w:val="24"/>
                <w:color w:val="0000FF"/>
              </w:rPr>
              <w:t>(二)工作内容</w:t>
            </w:r>
          </w:p>
          <w:p>
            <w:pPr>
              <w:pStyle w:val="null3"/>
            </w:pPr>
            <w:r>
              <w:rPr>
                <w:rFonts w:ascii="仿宋_GB2312" w:hAnsi="仿宋_GB2312" w:cs="仿宋_GB2312" w:eastAsia="仿宋_GB2312"/>
                <w:sz w:val="24"/>
                <w:color w:val="0000FF"/>
              </w:rPr>
              <w:t>项目成果主要明确城市街道一体化设计的总体要求和技术要求，供城市街道建设、设计单位使用，同时为住建部门和资规部门审批项目提供依据，为城管部门维护、管理提供参考。</w:t>
            </w:r>
          </w:p>
          <w:p>
            <w:pPr>
              <w:pStyle w:val="null3"/>
              <w:ind w:firstLine="480"/>
              <w:jc w:val="left"/>
            </w:pPr>
            <w:r>
              <w:rPr>
                <w:rFonts w:ascii="仿宋_GB2312" w:hAnsi="仿宋_GB2312" w:cs="仿宋_GB2312" w:eastAsia="仿宋_GB2312"/>
                <w:sz w:val="24"/>
              </w:rPr>
              <w:t>二、技术要求</w:t>
            </w:r>
          </w:p>
          <w:p>
            <w:pPr>
              <w:pStyle w:val="null3"/>
              <w:ind w:firstLine="480"/>
              <w:jc w:val="left"/>
            </w:pPr>
            <w:r>
              <w:rPr>
                <w:rFonts w:ascii="仿宋_GB2312" w:hAnsi="仿宋_GB2312" w:cs="仿宋_GB2312" w:eastAsia="仿宋_GB2312"/>
                <w:sz w:val="24"/>
                <w:color w:val="0000FF"/>
              </w:rPr>
              <w:t>(一)成果质量要求</w:t>
            </w:r>
          </w:p>
          <w:p>
            <w:pPr>
              <w:pStyle w:val="null3"/>
              <w:ind w:firstLine="480"/>
              <w:jc w:val="left"/>
            </w:pPr>
            <w:r>
              <w:rPr>
                <w:rFonts w:ascii="仿宋_GB2312" w:hAnsi="仿宋_GB2312" w:cs="仿宋_GB2312" w:eastAsia="仿宋_GB2312"/>
                <w:sz w:val="24"/>
                <w:color w:val="0000FF"/>
              </w:rPr>
              <w:t>严格依据《中华人民共和国城乡规划法》《城市环境卫生设施</w:t>
            </w:r>
            <w:r>
              <w:rPr>
                <w:rFonts w:ascii="仿宋_GB2312" w:hAnsi="仿宋_GB2312" w:cs="仿宋_GB2312" w:eastAsia="仿宋_GB2312"/>
                <w:sz w:val="24"/>
                <w:color w:val="0000FF"/>
              </w:rPr>
              <w:t>规划规范》</w:t>
            </w:r>
            <w:r>
              <w:rPr>
                <w:rFonts w:ascii="仿宋_GB2312" w:hAnsi="仿宋_GB2312" w:cs="仿宋_GB2312" w:eastAsia="仿宋_GB2312"/>
                <w:sz w:val="24"/>
                <w:color w:val="0000FF"/>
              </w:rPr>
              <w:t>GB50337-2018、《 建筑市政与无障碍通用规范》GB 55019-2021、《无障碍设计规范》GB 50763-2012等相关国家标准或行业规范。</w:t>
            </w:r>
          </w:p>
          <w:p>
            <w:pPr>
              <w:pStyle w:val="null3"/>
              <w:ind w:firstLine="480"/>
              <w:jc w:val="left"/>
            </w:pPr>
            <w:r>
              <w:rPr>
                <w:rFonts w:ascii="仿宋_GB2312" w:hAnsi="仿宋_GB2312" w:cs="仿宋_GB2312" w:eastAsia="仿宋_GB2312"/>
                <w:sz w:val="24"/>
                <w:color w:val="0000FF"/>
              </w:rPr>
              <w:t>(二)成果交付要求</w:t>
            </w:r>
          </w:p>
          <w:p>
            <w:pPr>
              <w:pStyle w:val="null3"/>
            </w:pPr>
            <w:r>
              <w:rPr>
                <w:rFonts w:ascii="仿宋_GB2312" w:hAnsi="仿宋_GB2312" w:cs="仿宋_GB2312" w:eastAsia="仿宋_GB2312"/>
                <w:sz w:val="24"/>
                <w:color w:val="0000FF"/>
              </w:rPr>
              <w:t>本项目交付成果为文档类成果，按相关规范编制和生产，即《西安市城市道路与临街空间一体化设计导则》</w:t>
            </w:r>
            <w:r>
              <w:rPr>
                <w:rFonts w:ascii="仿宋_GB2312" w:hAnsi="仿宋_GB2312" w:cs="仿宋_GB2312" w:eastAsia="仿宋_GB2312"/>
                <w:sz w:val="24"/>
                <w:color w:val="0000FF"/>
              </w:rPr>
              <w:t>, Word 和 PDF 格式文件和相关图纸文件。</w:t>
            </w:r>
          </w:p>
          <w:p>
            <w:pPr>
              <w:pStyle w:val="null3"/>
              <w:ind w:firstLine="480"/>
              <w:jc w:val="left"/>
            </w:pPr>
            <w:r>
              <w:rPr>
                <w:rFonts w:ascii="仿宋_GB2312" w:hAnsi="仿宋_GB2312" w:cs="仿宋_GB2312" w:eastAsia="仿宋_GB2312"/>
                <w:sz w:val="24"/>
              </w:rPr>
              <w:t>三、服务要求</w:t>
            </w:r>
          </w:p>
          <w:p>
            <w:pPr>
              <w:pStyle w:val="null3"/>
              <w:ind w:firstLine="480"/>
              <w:jc w:val="left"/>
            </w:pPr>
            <w:r>
              <w:rPr>
                <w:rFonts w:ascii="仿宋_GB2312" w:hAnsi="仿宋_GB2312" w:cs="仿宋_GB2312" w:eastAsia="仿宋_GB2312"/>
                <w:sz w:val="24"/>
                <w:color w:val="0000FF"/>
              </w:rPr>
              <w:t>(一)服务商须精心组建项目团队，确定项目负责人，并对项目团队的政治素质和业务素质负责。</w:t>
            </w:r>
          </w:p>
          <w:p>
            <w:pPr>
              <w:pStyle w:val="null3"/>
              <w:ind w:firstLine="480"/>
              <w:jc w:val="left"/>
            </w:pPr>
            <w:r>
              <w:rPr>
                <w:rFonts w:ascii="仿宋_GB2312" w:hAnsi="仿宋_GB2312" w:cs="仿宋_GB2312" w:eastAsia="仿宋_GB2312"/>
                <w:sz w:val="24"/>
                <w:color w:val="0000FF"/>
              </w:rPr>
              <w:t>(二)项目组成员须有较强的组织和协调能力，具有较高的理论素养和分析解决问题的能力。</w:t>
            </w:r>
          </w:p>
          <w:p>
            <w:pPr>
              <w:pStyle w:val="null3"/>
              <w:ind w:firstLine="480"/>
              <w:jc w:val="left"/>
            </w:pPr>
            <w:r>
              <w:rPr>
                <w:rFonts w:ascii="仿宋_GB2312" w:hAnsi="仿宋_GB2312" w:cs="仿宋_GB2312" w:eastAsia="仿宋_GB2312"/>
                <w:sz w:val="24"/>
                <w:color w:val="0000FF"/>
              </w:rPr>
              <w:t>(三)项目负责人必须是该项目实施全过程的真正组织者和指导者，并担负项目成果审查工作。挂名或不担负成果审查工作的，不得作为项目负责人。</w:t>
            </w:r>
          </w:p>
          <w:p>
            <w:pPr>
              <w:pStyle w:val="null3"/>
              <w:ind w:firstLine="480"/>
              <w:jc w:val="left"/>
            </w:pPr>
            <w:r>
              <w:rPr>
                <w:rFonts w:ascii="仿宋_GB2312" w:hAnsi="仿宋_GB2312" w:cs="仿宋_GB2312" w:eastAsia="仿宋_GB2312"/>
                <w:sz w:val="24"/>
                <w:color w:val="0000FF"/>
              </w:rPr>
              <w:t>(四)项目团队成员应当熟悉国土空间规划、综合交通体系规划、综合交通调查、交通数据等相关规范标准，项目实施应紧贴上位政策要求。</w:t>
            </w:r>
          </w:p>
          <w:p>
            <w:pPr>
              <w:pStyle w:val="null3"/>
            </w:pPr>
            <w:r>
              <w:rPr>
                <w:rFonts w:ascii="仿宋_GB2312" w:hAnsi="仿宋_GB2312" w:cs="仿宋_GB2312" w:eastAsia="仿宋_GB2312"/>
                <w:sz w:val="24"/>
                <w:color w:val="0000FF"/>
              </w:rPr>
              <w:t>(五)项目团队成员及其主要成员履约过程中不得随意更换，确需调整时，须书面提请采购人同意。</w:t>
            </w:r>
          </w:p>
          <w:p>
            <w:pPr>
              <w:pStyle w:val="null3"/>
              <w:ind w:firstLine="480"/>
              <w:jc w:val="left"/>
            </w:pPr>
            <w:r>
              <w:rPr>
                <w:rFonts w:ascii="仿宋_GB2312" w:hAnsi="仿宋_GB2312" w:cs="仿宋_GB2312" w:eastAsia="仿宋_GB2312"/>
                <w:sz w:val="24"/>
              </w:rPr>
              <w:t>四、商务要求</w:t>
            </w:r>
          </w:p>
          <w:p>
            <w:pPr>
              <w:pStyle w:val="null3"/>
              <w:ind w:firstLine="480"/>
              <w:jc w:val="left"/>
            </w:pPr>
            <w:r>
              <w:rPr>
                <w:rFonts w:ascii="仿宋_GB2312" w:hAnsi="仿宋_GB2312" w:cs="仿宋_GB2312" w:eastAsia="仿宋_GB2312"/>
                <w:sz w:val="24"/>
                <w:color w:val="0000FF"/>
              </w:rPr>
              <w:t>(一)服务期限</w:t>
            </w:r>
          </w:p>
          <w:p>
            <w:pPr>
              <w:pStyle w:val="null3"/>
            </w:pPr>
            <w:r>
              <w:rPr>
                <w:rFonts w:ascii="仿宋_GB2312" w:hAnsi="仿宋_GB2312" w:cs="仿宋_GB2312" w:eastAsia="仿宋_GB2312"/>
                <w:sz w:val="24"/>
                <w:color w:val="0000FF"/>
              </w:rPr>
              <w:t>自合同签订之日起至</w:t>
            </w:r>
            <w:r>
              <w:rPr>
                <w:rFonts w:ascii="仿宋_GB2312" w:hAnsi="仿宋_GB2312" w:cs="仿宋_GB2312" w:eastAsia="仿宋_GB2312"/>
                <w:sz w:val="24"/>
                <w:color w:val="0000FF"/>
              </w:rPr>
              <w:t>2027年12月15日，若因政府工作调整，项目服务期限相</w:t>
            </w:r>
          </w:p>
          <w:p>
            <w:pPr>
              <w:pStyle w:val="null3"/>
              <w:ind w:firstLine="480"/>
              <w:jc w:val="left"/>
            </w:pPr>
            <w:r>
              <w:rPr>
                <w:rFonts w:ascii="仿宋_GB2312" w:hAnsi="仿宋_GB2312" w:cs="仿宋_GB2312" w:eastAsia="仿宋_GB2312"/>
                <w:sz w:val="24"/>
                <w:color w:val="0000FF"/>
              </w:rPr>
              <w:t>应调整，直至整个项目完成。</w:t>
            </w:r>
          </w:p>
          <w:p>
            <w:pPr>
              <w:pStyle w:val="null3"/>
              <w:ind w:firstLine="480"/>
              <w:jc w:val="left"/>
            </w:pPr>
            <w:r>
              <w:rPr>
                <w:rFonts w:ascii="仿宋_GB2312" w:hAnsi="仿宋_GB2312" w:cs="仿宋_GB2312" w:eastAsia="仿宋_GB2312"/>
                <w:sz w:val="24"/>
                <w:color w:val="0000FF"/>
              </w:rPr>
              <w:t>(二)款项结算</w:t>
            </w:r>
          </w:p>
          <w:p>
            <w:pPr>
              <w:pStyle w:val="null3"/>
              <w:ind w:firstLine="480"/>
              <w:jc w:val="left"/>
            </w:pPr>
            <w:r>
              <w:rPr>
                <w:rFonts w:ascii="仿宋_GB2312" w:hAnsi="仿宋_GB2312" w:cs="仿宋_GB2312" w:eastAsia="仿宋_GB2312"/>
                <w:sz w:val="24"/>
                <w:color w:val="0000FF"/>
              </w:rPr>
              <w:t>1.本项目拟采用政府采购的方式进行；</w:t>
            </w:r>
          </w:p>
          <w:p>
            <w:pPr>
              <w:pStyle w:val="null3"/>
              <w:ind w:firstLine="480"/>
              <w:jc w:val="left"/>
            </w:pPr>
            <w:r>
              <w:rPr>
                <w:rFonts w:ascii="仿宋_GB2312" w:hAnsi="仿宋_GB2312" w:cs="仿宋_GB2312" w:eastAsia="仿宋_GB2312"/>
                <w:sz w:val="24"/>
                <w:color w:val="0000FF"/>
              </w:rPr>
              <w:t>2.合同总价一次性包死，不受市场价格变化和税率变化等因素的影响。</w:t>
            </w:r>
          </w:p>
          <w:p>
            <w:pPr>
              <w:pStyle w:val="null3"/>
              <w:ind w:firstLine="480"/>
              <w:jc w:val="left"/>
            </w:pPr>
            <w:r>
              <w:rPr>
                <w:rFonts w:ascii="仿宋_GB2312" w:hAnsi="仿宋_GB2312" w:cs="仿宋_GB2312" w:eastAsia="仿宋_GB2312"/>
                <w:sz w:val="24"/>
                <w:color w:val="0000FF"/>
              </w:rPr>
              <w:t>3.合同签订后，项目计划按照3个阶段完成项目实施和款项支付。其中第一阶段合同签订后，30个工作日内支付合同总金额的 30%,第二阶段完成初步成果并通过专家评审，15个工作日内支付合同总金额的40%,第三阶段完成整个项目并提交成果和通过验收，30个工作日内支付合同项目尾款。</w:t>
            </w:r>
          </w:p>
          <w:p>
            <w:pPr>
              <w:pStyle w:val="null3"/>
              <w:ind w:firstLine="480"/>
              <w:jc w:val="left"/>
            </w:pPr>
            <w:r>
              <w:rPr>
                <w:rFonts w:ascii="仿宋_GB2312" w:hAnsi="仿宋_GB2312" w:cs="仿宋_GB2312" w:eastAsia="仿宋_GB2312"/>
                <w:sz w:val="24"/>
                <w:color w:val="0000FF"/>
              </w:rPr>
              <w:t>4.支付比例以最终政府采购服务合同约定为准。</w:t>
            </w:r>
          </w:p>
          <w:p>
            <w:pPr>
              <w:pStyle w:val="null3"/>
              <w:ind w:firstLine="480"/>
              <w:jc w:val="left"/>
            </w:pPr>
            <w:r>
              <w:rPr>
                <w:rFonts w:ascii="仿宋_GB2312" w:hAnsi="仿宋_GB2312" w:cs="仿宋_GB2312" w:eastAsia="仿宋_GB2312"/>
                <w:sz w:val="24"/>
                <w:color w:val="0000FF"/>
              </w:rPr>
              <w:t>5.支付方式为银行转账形式。</w:t>
            </w:r>
          </w:p>
          <w:p>
            <w:pPr>
              <w:pStyle w:val="null3"/>
            </w:pPr>
            <w:r>
              <w:rPr>
                <w:rFonts w:ascii="仿宋_GB2312" w:hAnsi="仿宋_GB2312" w:cs="仿宋_GB2312" w:eastAsia="仿宋_GB2312"/>
                <w:sz w:val="24"/>
                <w:color w:val="0000FF"/>
              </w:rPr>
              <w:t xml:space="preserve">         6.实际支付进度以财政资金拨付进度为准。</w:t>
            </w:r>
          </w:p>
          <w:p>
            <w:pPr>
              <w:pStyle w:val="null3"/>
              <w:ind w:firstLine="480"/>
              <w:jc w:val="left"/>
            </w:pPr>
            <w:r>
              <w:rPr>
                <w:rFonts w:ascii="仿宋_GB2312" w:hAnsi="仿宋_GB2312" w:cs="仿宋_GB2312" w:eastAsia="仿宋_GB2312"/>
                <w:sz w:val="24"/>
              </w:rPr>
              <w:t>五、其他</w:t>
            </w:r>
          </w:p>
          <w:p>
            <w:pPr>
              <w:pStyle w:val="null3"/>
              <w:ind w:firstLine="480"/>
              <w:jc w:val="left"/>
            </w:pPr>
            <w:r>
              <w:rPr>
                <w:rFonts w:ascii="仿宋_GB2312" w:hAnsi="仿宋_GB2312" w:cs="仿宋_GB2312" w:eastAsia="仿宋_GB2312"/>
                <w:sz w:val="24"/>
                <w:color w:val="0000FF"/>
              </w:rPr>
              <w:t>(一)符合《中华人民共和国政府采购法》第二十二条、第二 十三条、第二十四条规定。</w:t>
            </w:r>
          </w:p>
          <w:p>
            <w:pPr>
              <w:pStyle w:val="null3"/>
              <w:ind w:firstLine="480"/>
              <w:jc w:val="left"/>
            </w:pPr>
            <w:r>
              <w:rPr>
                <w:rFonts w:ascii="仿宋_GB2312" w:hAnsi="仿宋_GB2312" w:cs="仿宋_GB2312" w:eastAsia="仿宋_GB2312"/>
                <w:sz w:val="24"/>
                <w:color w:val="0000FF"/>
              </w:rPr>
              <w:t>(二)技术服务单位具有城乡规划编制甲级资质(根据《自然资源部办公厅关于国土空间规划编制资质有关问题的函》(自然资 办函〔2019〕2375号)和《陕西省自然资源厅关于加强全省国土空 间规划编制成果质量管控的通知》(陕自然资规发〔2020〕16号) 规定，本项目采购期间涉及资质到期未换证的服务商，可以参与并认定资质有效)。</w:t>
            </w:r>
          </w:p>
          <w:p>
            <w:pPr>
              <w:pStyle w:val="null3"/>
              <w:ind w:firstLine="480"/>
              <w:jc w:val="left"/>
            </w:pPr>
            <w:r>
              <w:rPr>
                <w:rFonts w:ascii="仿宋_GB2312" w:hAnsi="仿宋_GB2312" w:cs="仿宋_GB2312" w:eastAsia="仿宋_GB2312"/>
                <w:sz w:val="24"/>
                <w:color w:val="0000FF"/>
              </w:rPr>
              <w:t>(三)技术服务单位需配合完成采购人安排的与本项目有关的其他事项。</w:t>
            </w:r>
          </w:p>
          <w:p>
            <w:pPr>
              <w:pStyle w:val="null3"/>
              <w:ind w:firstLine="480"/>
              <w:jc w:val="left"/>
            </w:pPr>
            <w:r>
              <w:rPr>
                <w:rFonts w:ascii="仿宋_GB2312" w:hAnsi="仿宋_GB2312" w:cs="仿宋_GB2312" w:eastAsia="仿宋_GB2312"/>
                <w:sz w:val="24"/>
                <w:color w:val="0000FF"/>
              </w:rPr>
              <w:t>(四)进度要求</w:t>
            </w:r>
          </w:p>
          <w:p>
            <w:pPr>
              <w:pStyle w:val="null3"/>
              <w:ind w:firstLine="480"/>
              <w:jc w:val="left"/>
            </w:pPr>
            <w:r>
              <w:rPr>
                <w:rFonts w:ascii="仿宋_GB2312" w:hAnsi="仿宋_GB2312" w:cs="仿宋_GB2312" w:eastAsia="仿宋_GB2312"/>
                <w:sz w:val="24"/>
                <w:color w:val="0000FF"/>
              </w:rPr>
              <w:t>1.合同签订30个工作日内形成项目工作计划。</w:t>
            </w:r>
          </w:p>
          <w:p>
            <w:pPr>
              <w:pStyle w:val="null3"/>
              <w:ind w:firstLine="480"/>
              <w:jc w:val="left"/>
            </w:pPr>
            <w:r>
              <w:rPr>
                <w:rFonts w:ascii="仿宋_GB2312" w:hAnsi="仿宋_GB2312" w:cs="仿宋_GB2312" w:eastAsia="仿宋_GB2312"/>
                <w:sz w:val="24"/>
                <w:color w:val="0000FF"/>
              </w:rPr>
              <w:t>2.2027年5月1日前完成初步成果并通过专家评审；落实修改意见后，形成阶段性成果，并征询落实各相关部门意见。</w:t>
            </w:r>
          </w:p>
          <w:p>
            <w:pPr>
              <w:pStyle w:val="null3"/>
              <w:ind w:firstLine="480"/>
              <w:jc w:val="left"/>
            </w:pPr>
            <w:r>
              <w:rPr>
                <w:rFonts w:ascii="仿宋_GB2312" w:hAnsi="仿宋_GB2312" w:cs="仿宋_GB2312" w:eastAsia="仿宋_GB2312"/>
                <w:sz w:val="24"/>
                <w:color w:val="0000FF"/>
              </w:rPr>
              <w:t>3.2027年12月15日前组织专家验收会议并提交成果。</w:t>
            </w:r>
          </w:p>
          <w:p>
            <w:pPr>
              <w:pStyle w:val="null3"/>
              <w:ind w:firstLine="480"/>
              <w:jc w:val="left"/>
            </w:pPr>
            <w:r>
              <w:rPr>
                <w:rFonts w:ascii="仿宋_GB2312" w:hAnsi="仿宋_GB2312" w:cs="仿宋_GB2312" w:eastAsia="仿宋_GB2312"/>
                <w:sz w:val="24"/>
                <w:color w:val="0000FF"/>
              </w:rPr>
              <w:t>4.技术服务单位应定期或不定期按照要求向采购人提供项目工作进度。</w:t>
            </w:r>
          </w:p>
          <w:p>
            <w:pPr>
              <w:pStyle w:val="null3"/>
              <w:ind w:firstLine="480"/>
              <w:jc w:val="left"/>
            </w:pPr>
            <w:r>
              <w:rPr>
                <w:rFonts w:ascii="仿宋_GB2312" w:hAnsi="仿宋_GB2312" w:cs="仿宋_GB2312" w:eastAsia="仿宋_GB2312"/>
                <w:sz w:val="24"/>
                <w:color w:val="0000FF"/>
              </w:rPr>
              <w:t>5.采购人根据实际需要，对项目进展情况不定期听取汇报。</w:t>
            </w:r>
          </w:p>
          <w:p>
            <w:pPr>
              <w:pStyle w:val="null3"/>
              <w:ind w:firstLine="480"/>
              <w:jc w:val="left"/>
            </w:pPr>
            <w:r>
              <w:rPr>
                <w:rFonts w:ascii="仿宋_GB2312" w:hAnsi="仿宋_GB2312" w:cs="仿宋_GB2312" w:eastAsia="仿宋_GB2312"/>
                <w:sz w:val="24"/>
                <w:color w:val="0000FF"/>
              </w:rPr>
              <w:t>6.受不可抗力(项目完成时间延后、提前；上位要求变化等) 因素影响，采购人可适当调整进度要求。</w:t>
            </w:r>
          </w:p>
          <w:p>
            <w:pPr>
              <w:pStyle w:val="null3"/>
              <w:ind w:firstLine="480"/>
              <w:jc w:val="left"/>
            </w:pPr>
            <w:r>
              <w:rPr>
                <w:rFonts w:ascii="仿宋_GB2312" w:hAnsi="仿宋_GB2312" w:cs="仿宋_GB2312" w:eastAsia="仿宋_GB2312"/>
                <w:sz w:val="24"/>
                <w:color w:val="0000FF"/>
              </w:rPr>
              <w:t>备注：项目进度可根据甲方要求，与乙方协调后调整。</w:t>
            </w:r>
          </w:p>
          <w:p>
            <w:pPr>
              <w:pStyle w:val="null3"/>
              <w:ind w:firstLine="480"/>
              <w:jc w:val="left"/>
            </w:pPr>
            <w:r>
              <w:rPr>
                <w:rFonts w:ascii="仿宋_GB2312" w:hAnsi="仿宋_GB2312" w:cs="仿宋_GB2312" w:eastAsia="仿宋_GB2312"/>
                <w:sz w:val="24"/>
                <w:color w:val="0000FF"/>
              </w:rPr>
              <w:t>(五)质量验收标准或规范</w:t>
            </w:r>
          </w:p>
          <w:p>
            <w:pPr>
              <w:pStyle w:val="null3"/>
              <w:ind w:firstLine="480"/>
              <w:jc w:val="left"/>
            </w:pPr>
            <w:r>
              <w:rPr>
                <w:rFonts w:ascii="仿宋_GB2312" w:hAnsi="仿宋_GB2312" w:cs="仿宋_GB2312" w:eastAsia="仿宋_GB2312"/>
                <w:sz w:val="24"/>
                <w:color w:val="0000FF"/>
              </w:rPr>
              <w:t>项目按照合同要求，编制完成《西安市城市道路与临街空间一</w:t>
            </w:r>
            <w:r>
              <w:rPr>
                <w:rFonts w:ascii="仿宋_GB2312" w:hAnsi="仿宋_GB2312" w:cs="仿宋_GB2312" w:eastAsia="仿宋_GB2312"/>
                <w:sz w:val="24"/>
                <w:color w:val="0000FF"/>
              </w:rPr>
              <w:t>体化设计导则》</w:t>
            </w:r>
            <w:r>
              <w:rPr>
                <w:rFonts w:ascii="仿宋_GB2312" w:hAnsi="仿宋_GB2312" w:cs="仿宋_GB2312" w:eastAsia="仿宋_GB2312"/>
                <w:sz w:val="24"/>
                <w:color w:val="0000FF"/>
              </w:rPr>
              <w:t>,成果质量符合国家标准、行业规范、自然资源部、 陕西省政府、陕西省自然资源厅、西安市政府、西安市自然资源和规划局的相关要求，并通过采购人组织的专家验收会。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自合同签订之日起至2027年12月15日，若因政府工作调整，项目服务期限相应调整，直至整个项目完成。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合同要求，编制完成《西安市城市道路与临街空间一体化设计导则》,成果质量符合国家标准、行业规范、自然资源部、陕西省政府、陕西省自然资源厅、西安市政府、西安市自然资源和规划局的相关要求，并通过采购人组织的专家验收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进度款，完成初步成果并通过专家评审，达到付款条件起15个工作日内，支付合同总金额的40.0%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进度款，完成整个项目并提交成果和通过验收，达到付款条件起30个工作日内，支付合同总金额的30.0%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向西安仲裁委员会提请仲裁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1.本项目采购包1为非专门面向中小企业采购。 2.本项目属性：服务。 3.本项目采购包1采购标的所属行业为：其他未列明行业。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响应文件封面 供应商应提交的相关资格证明材料 响应函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供应商具备履行合同所必需的设备和专业技术能力；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供应商须具备城乡规划编制甲级资质；</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 其他证明资料.docx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 其他证明资料.docx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中小企业声明函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针对本项目提供的服务方案内容，包括但不限于：(1)项目前期调研；(2)总体工作方案；(3)组织实施方案等；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针对本项目提供的进度安排及保障措施内容，包括但不限于:(1)分阶段详细节点划分；(2)各阶段实施流程；(3)人员配置进度保障等；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针对本项目提供的质量保障措施内容，包括但不限于:(1)服务质量保障方案；(2)服务保障承诺；(3)项目全周期责任保障承诺等； 上述3项方案共计得分12分，每项方案内容为4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针对本项目提供的服务承诺内容，包括但不限于:(1)紧急事项服务承诺；(2)响应时效承诺等； 上述2项方案共计得分4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项目主要负责人配备情况（本项最高10分） ①负责人具备注册城乡规划师执业资格证书，得5分； ②负责人拥有5年及以上城市街道、城市设计类规划导则编制从业经验（以注册城乡规划师证书取证时间为准，从业年限不足5年本小项不计分。），得5分；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项目组专业技术人员配备情况 （1）团队内持有注册城乡规划师证书人员，每提供1人得5分； （2）团队内具备城乡规划或土地规划管理相关专业高级职称人员，每提供1人得5分； （3）团队内具备规划类相关专业中级职称人员，每提供1人得2.5分； 注： 1. 总分上限20分，同一名人员资质不重复累加计分； 2. 所有参评人员须提供加盖单位公章的资质证书、职称证书复印件，未提供证明材料或材料未加盖公章的对应人员不计分；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供应商近年来的类似业绩证明材料，每提供一份业绩合同得5分，满分为20分，不得重复累计。注：以合同签订时间为准，供应商应在响应文件中提供业绩合同复印件或扫描件且加盖单位公章。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