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版本号：ZRS-2026-ZC-01820260726001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三原高新技术产业开发区总体发展规划(2023-2035)环境影响报告书编制服务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ZRS-2026-ZC-018</w:t>
      </w:r>
      <w:r>
        <w:br/>
      </w:r>
      <w:r>
        <w:br/>
      </w:r>
      <w:r>
        <w:br/>
      </w:r>
    </w:p>
    <w:p>
      <w:pPr>
        <w:pStyle w:val="null3"/>
        <w:jc w:val="center"/>
        <w:outlineLvl w:val="2"/>
      </w:pPr>
      <w:r>
        <w:rPr>
          <w:rFonts w:ascii="仿宋_GB2312" w:hAnsi="仿宋_GB2312" w:cs="仿宋_GB2312" w:eastAsia="仿宋_GB2312"/>
          <w:sz w:val="28"/>
          <w:b/>
        </w:rPr>
        <w:t>三原高新技术产业开发区管理委员会</w:t>
      </w:r>
    </w:p>
    <w:p>
      <w:pPr>
        <w:pStyle w:val="null3"/>
        <w:jc w:val="center"/>
        <w:outlineLvl w:val="2"/>
      </w:pPr>
      <w:r>
        <w:rPr>
          <w:rFonts w:ascii="仿宋_GB2312" w:hAnsi="仿宋_GB2312" w:cs="仿宋_GB2312" w:eastAsia="仿宋_GB2312"/>
          <w:sz w:val="28"/>
          <w:b/>
        </w:rPr>
        <w:t>陕西卓尔盛工程项目管理有限公司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陕西卓尔盛工程项目管理有限公司</w:t>
      </w:r>
      <w:r>
        <w:rPr>
          <w:rFonts w:ascii="仿宋_GB2312" w:hAnsi="仿宋_GB2312" w:cs="仿宋_GB2312" w:eastAsia="仿宋_GB2312"/>
        </w:rPr>
        <w:t>（以下简称“代理机构”）受</w:t>
      </w:r>
      <w:r>
        <w:rPr>
          <w:rFonts w:ascii="仿宋_GB2312" w:hAnsi="仿宋_GB2312" w:cs="仿宋_GB2312" w:eastAsia="仿宋_GB2312"/>
        </w:rPr>
        <w:t>三原高新技术产业开发区管理委员会</w:t>
      </w:r>
      <w:r>
        <w:rPr>
          <w:rFonts w:ascii="仿宋_GB2312" w:hAnsi="仿宋_GB2312" w:cs="仿宋_GB2312" w:eastAsia="仿宋_GB2312"/>
        </w:rPr>
        <w:t>委托，拟对</w:t>
      </w:r>
      <w:r>
        <w:rPr>
          <w:rFonts w:ascii="仿宋_GB2312" w:hAnsi="仿宋_GB2312" w:cs="仿宋_GB2312" w:eastAsia="仿宋_GB2312"/>
        </w:rPr>
        <w:t>三原高新技术产业开发区总体发展规划(2023-2035)环境影响报告书编制服务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ZRS-2026-ZC-018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三原高新技术产业开发区总体发展规划(2023-2035)环境影响报告书编制服务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三原高新技术产业开发区总体发展规划(2023-2035)环境影响报告书编制服务，详见采购文件。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采购包1（环境影响报告书编制）：属于专门面向中小企业采购。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供应商身份证明文件：法定代表人直接参加磋商的，须出具法定代表人身份证明书（含法人身份证复印件）；法定代表人授权代表参加磋商的，须出具法定代表人授权书（附法定代表人身份证复印件及被授权人身份证复印件）；</w:t>
      </w:r>
    </w:p>
    <w:p>
      <w:pPr>
        <w:pStyle w:val="null3"/>
      </w:pPr>
      <w:r>
        <w:rPr>
          <w:rFonts w:ascii="仿宋_GB2312" w:hAnsi="仿宋_GB2312" w:cs="仿宋_GB2312" w:eastAsia="仿宋_GB2312"/>
        </w:rPr>
        <w:t>3、供应商须在环评信用平台登记备案：供应商须在环评信用平台登记备案；</w:t>
      </w:r>
    </w:p>
    <w:p>
      <w:pPr>
        <w:pStyle w:val="null3"/>
      </w:pPr>
      <w:r>
        <w:rPr>
          <w:rFonts w:ascii="仿宋_GB2312" w:hAnsi="仿宋_GB2312" w:cs="仿宋_GB2312" w:eastAsia="仿宋_GB2312"/>
        </w:rPr>
        <w:t>4、项目负责人：项目负责人具有环境影响评价工程师职业资格证书；</w:t>
      </w:r>
    </w:p>
    <w:p>
      <w:pPr>
        <w:pStyle w:val="null3"/>
      </w:pPr>
      <w:r>
        <w:rPr>
          <w:rFonts w:ascii="仿宋_GB2312" w:hAnsi="仿宋_GB2312" w:cs="仿宋_GB2312" w:eastAsia="仿宋_GB2312"/>
        </w:rPr>
        <w:t>5、社会保障资金缴纳证明：提供2026年01月01日至响应文件提交截止时间前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6、税收缴纳证明：提供2026年01月01日至响应文件提交截止时间前任意一个月已缴纳的完税凭证或税务机关开具的完税证明（任意税种），依法免税的应提供相关文件证明；</w:t>
      </w:r>
    </w:p>
    <w:p>
      <w:pPr>
        <w:pStyle w:val="null3"/>
      </w:pPr>
      <w:r>
        <w:rPr>
          <w:rFonts w:ascii="仿宋_GB2312" w:hAnsi="仿宋_GB2312" w:cs="仿宋_GB2312" w:eastAsia="仿宋_GB2312"/>
        </w:rPr>
        <w:t>7、信用查询：拒绝被列入“中国执行信息公开网”（http://zxgk.court.gov.cn）失信被执行人名单、“信用中国”网站（www.creditchina.gov.cn）重大税收违法失信主体名单、“中国政府采购网”（www.ccgp.gov.cn）政府采购严重违法失信行为信息记录名单中的供应商参与本次政府采购活动；（磋商时，代理机构将现场查询）</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三原高新技术产业开发区管理委员会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陕西省咸阳市三原县冶金大道81号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段宝利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029-32356666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陕西卓尔盛工程项目管理有限公司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陕西省西安市经济技术开发区凤城七路明丰国际10楼1006室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王莎、贾皓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17792396362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采购包1：646,444.80元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改委关于降低部分建设项目收费标准规范收费行为等有关问题的通知》（发改价格〔2011〕534号）的规定，按照收费标准收取。 账户名称：陕西卓尔盛工程项目管理有限公司 开户银行：兴业银行股份有限公司西安分行营业部 账号：456010100100759661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三原高新技术产业开发区管理委员会</w:t>
      </w:r>
      <w:r>
        <w:rPr>
          <w:rFonts w:ascii="仿宋_GB2312" w:hAnsi="仿宋_GB2312" w:cs="仿宋_GB2312" w:eastAsia="仿宋_GB2312"/>
        </w:rPr>
        <w:t>和</w:t>
      </w:r>
      <w:r>
        <w:rPr>
          <w:rFonts w:ascii="仿宋_GB2312" w:hAnsi="仿宋_GB2312" w:cs="仿宋_GB2312" w:eastAsia="仿宋_GB2312"/>
        </w:rPr>
        <w:t>陕西卓尔盛工程项目管理有限公司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三原高新技术产业开发区管理委员会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陕西卓尔盛工程项目管理有限公司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三原高新技术产业开发区管理委员会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陕西卓尔盛工程项目管理有限公司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为本项目编制的规划环评报告书、调研资料、图表附图等全部成果知识产权归属甲方。甲方拥有永久完整使用权，可根据工作需要使用、修改、报送主管部门。未经甲方书面同意，乙方不得擅自对外泄露、转让项目成果与园区调研资料。乙方须保障成果无知识产权侵权问题，相关纠纷责任由乙方承担。乙方通用评价技术模板仍归乙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商务标准：按期交付成果，核心人员稳定履约；成果交付规格符合约定；无转包、擅自分包行为，遵守保密与知识产权约定，全过程履约资料齐全。 技术标准：环评报告书内容、编制深度符合国家及陕西省现行规范；调研充分、分析论证科学，管控措施具备落地性，成果满足专家审查、规划报批要求。 一般性瑕疵乙方限期无偿整改；重大缺陷经多次整改仍不达标的，按照合同违约条款处理。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联系人：王莎、贾皓</w:t>
      </w:r>
    </w:p>
    <w:p>
      <w:pPr>
        <w:pStyle w:val="null3"/>
      </w:pPr>
      <w:r>
        <w:rPr>
          <w:rFonts w:ascii="仿宋_GB2312" w:hAnsi="仿宋_GB2312" w:cs="仿宋_GB2312" w:eastAsia="仿宋_GB2312"/>
        </w:rPr>
        <w:t>联系电话：17792396362</w:t>
      </w:r>
    </w:p>
    <w:p>
      <w:pPr>
        <w:pStyle w:val="null3"/>
      </w:pPr>
      <w:r>
        <w:rPr>
          <w:rFonts w:ascii="仿宋_GB2312" w:hAnsi="仿宋_GB2312" w:cs="仿宋_GB2312" w:eastAsia="仿宋_GB2312"/>
        </w:rPr>
        <w:t>地址：陕西省西安市经济技术开发区凤城七路明丰国际10楼1006室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三原高新技术产业开发区总体发展规划(2023-2035)环境影响报告书编制服务，详见采购文件。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646,444.80</w:t>
      </w:r>
    </w:p>
    <w:p>
      <w:pPr>
        <w:pStyle w:val="null3"/>
      </w:pPr>
      <w:r>
        <w:rPr>
          <w:rFonts w:ascii="仿宋_GB2312" w:hAnsi="仿宋_GB2312" w:cs="仿宋_GB2312" w:eastAsia="仿宋_GB2312"/>
        </w:rPr>
        <w:t>采购包最高限价（元）: 646,444.80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三原高新技术产业开发区总体发展规划(2023-2035)环境影响报告书编制服务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646,444.80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标的名称：三原高新技术产业开发区总体发展规划(2023-2035)环境影响报告书编制服务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乙方承担《三原高新技术产业开发区总体发展规划（2023~2035）》规划环境影响报告书编制工作。工作内容包含规划协调性分析、区域环境现状调查评价、环境影响识别、多情景环境影响预测、资源环境承载力评估、规划方案综合论证、环保管控对策、环境准入清单、跟踪评价方案、规范开展公众参与，编制完整规划环评报告书。</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严格依据《规划环境影响评价条例》、HJ130-2019、HJ131-2021、DB61/T 1913-2024等国家及陕西省现行规范实施。</w:t>
            </w:r>
          </w:p>
          <w:p>
            <w:pPr>
              <w:pStyle w:val="null3"/>
            </w:pPr>
            <w:r>
              <w:rPr>
                <w:rFonts w:ascii="仿宋_GB2312" w:hAnsi="仿宋_GB2312" w:cs="仿宋_GB2312" w:eastAsia="仿宋_GB2312"/>
              </w:rPr>
              <w:t>三、成果要求</w:t>
            </w:r>
          </w:p>
          <w:p>
            <w:pPr>
              <w:pStyle w:val="null3"/>
            </w:pPr>
            <w:r>
              <w:rPr>
                <w:rFonts w:ascii="仿宋_GB2312" w:hAnsi="仿宋_GB2312" w:cs="仿宋_GB2312" w:eastAsia="仿宋_GB2312"/>
              </w:rPr>
              <w:t>提交完整正式环境影响报告书（纸质版6套、电子版全套3套），报告内容完整，数据真实、逻辑严谨，无重大缺项、遗漏。报告书全部内容满足国家、陕西省现行法规、标准规范，顺利通过专家技术审查，成果可直接用于规划报批、园区后续建设项目环评管理。</w:t>
            </w:r>
          </w:p>
          <w:p>
            <w:pPr>
              <w:pStyle w:val="null3"/>
            </w:pPr>
            <w:r>
              <w:rPr>
                <w:rFonts w:ascii="仿宋_GB2312" w:hAnsi="仿宋_GB2312" w:cs="仿宋_GB2312" w:eastAsia="仿宋_GB2312"/>
              </w:rPr>
              <w:t>四、服务周期</w:t>
            </w:r>
          </w:p>
          <w:p>
            <w:pPr>
              <w:pStyle w:val="null3"/>
            </w:pPr>
            <w:r>
              <w:rPr>
                <w:rFonts w:ascii="仿宋_GB2312" w:hAnsi="仿宋_GB2312" w:cs="仿宋_GB2312" w:eastAsia="仿宋_GB2312"/>
              </w:rPr>
              <w:t>合同签订后60日历天内完成并提交终稿。</w:t>
            </w:r>
          </w:p>
          <w:p>
            <w:pPr>
              <w:pStyle w:val="null3"/>
            </w:pPr>
            <w:r>
              <w:rPr>
                <w:rFonts w:ascii="仿宋_GB2312" w:hAnsi="仿宋_GB2312" w:cs="仿宋_GB2312" w:eastAsia="仿宋_GB2312"/>
              </w:rPr>
              <w:t>五、售后服务</w:t>
            </w:r>
          </w:p>
          <w:p>
            <w:pPr>
              <w:pStyle w:val="null3"/>
            </w:pPr>
            <w:r>
              <w:rPr>
                <w:rFonts w:ascii="仿宋_GB2312" w:hAnsi="仿宋_GB2312" w:cs="仿宋_GB2312" w:eastAsia="仿宋_GB2312"/>
              </w:rPr>
              <w:t>全程配合专家评审、主管部门问询答疑，免费修改完善直至验收合格。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具有履行合同所必需的专业人员，能够圆满完成本项目全部工作。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具有履行合同所必需的设备，所投入设备能够完全保障本项目实施。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成果编制严格遵循现行法规、导则规范，数据真实可靠；供应商全程配合专家审查、主管部门答疑，并按意见无偿优化报告</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合同签订后60日历天内完成并提交终稿。</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标准：规划环境影响报告书深度、内容符合国家及陕西省现行规划环评法规、技术导则；资料完整规范，分析论证科学合理，相关对策措施具备可操作性，满足专家审查、规划报批要求；成果纸质版本、电子载体数量、格式符合合同约定；乙方按期履约，核心人员履约到位，遵守保密、知识产权、禁止分包等商务约定。 验收方法：乙方完成全部工作后提交验收申请，由甲方组织验收，乙方项目负责人到场配合答疑。依据采购需求、审查意见逐项核查成果。轻微瑕疵乙方限期无偿整改；重大缺陷经多次整改仍不达标的，按合同违约条款处理。验收相关费用由乙方承担，全部验收资料归档保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进度款，评审稿完成付款，达到付款条件起5个工作日内，支付合同总金额的20.0%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进度款，评审稿通过专家评审，达到付款条件起5个工作日内，支付合同总金额的50.0%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进度款，剩余部分待取得上级批复文件后，达到付款条件起30个工作日内，支付合同总金额的30.0%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逾期付款、乙方逾期交付成果或成果质量不达标，违约方按合同总价款日万分之二支付违约金；乙方成果经整改仍无法满足需求，甲方有权解除合同并追偿损失。因保密、成果失真造成损失的，由责任方承担赔偿。合同争议双方先行协商，协商不成，提交甲方所在地人民法院诉讼解决。（具体由甲乙双方签订合同时具体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法定代表人直接参加磋商的，须出具法定代表人身份证明书（含法人身份证复印件）；法定代表人授权代表参加磋商的，须出具法定代表人授权书（附法定代表人身份证复印件及被授权人身份证复印件）；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供应商须在环评信用平台登记备案</w:t>
            </w:r>
          </w:p>
        </w:tc>
        <w:tc>
          <w:tcPr>
            <w:tcW w:type="dxa" w:w="3322"/>
          </w:tcPr>
          <w:p>
            <w:pPr>
              <w:pStyle w:val="null3"/>
            </w:pPr>
            <w:r>
              <w:rPr>
                <w:rFonts w:ascii="仿宋_GB2312" w:hAnsi="仿宋_GB2312" w:cs="仿宋_GB2312" w:eastAsia="仿宋_GB2312"/>
              </w:rPr>
              <w:t>供应商须在环评信用平台登记备案；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项目负责人具有环境影响评价工程师职业资格证书；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提供2026年01月01日至响应文件提交截止时间前任意一个月已缴纳的社会保障资金缴存单据或社保机构开具的社会保险参保缴费情况证明，依法不需要缴纳社会保障资金的应提供相关文件证明；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提供2026年01月01日至响应文件提交截止时间前任意一个月已缴纳的完税凭证或税务机关开具的完税证明（任意税种），依法免税的应提供相关文件证明；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拒绝被列入“中国执行信息公开网”（http://zxgk.court.gov.cn）失信被执行人名单、“信用中国”网站（www.creditchina.gov.cn）重大税收违法失信主体名单、“中国政府采购网”（www.ccgp.gov.cn）政府采购严重违法失信行为信息记录名单中的供应商参与本次政府采购活动；（磋商时，代理机构将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磋商无效条件：响应文件未按磋商文件要求签署、盖章的</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残疾人福利性单位声明函 标的清单 商务应答表.docx 服务内容及服务要求应答表.docx 报价表 响应函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磋商无效条件：供应商磋商报价超出采购预算或最高限价的</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存在其它不符合法律法规或磋商文件规定的无效情形</w:t>
            </w:r>
          </w:p>
        </w:tc>
        <w:tc>
          <w:tcPr>
            <w:tcW w:type="dxa" w:w="1661"/>
          </w:tcPr>
          <w:p>
            <w:pPr>
              <w:pStyle w:val="null3"/>
            </w:pPr>
            <w:r>
              <w:rPr>
                <w:rFonts w:ascii="仿宋_GB2312" w:hAnsi="仿宋_GB2312" w:cs="仿宋_GB2312" w:eastAsia="仿宋_GB2312"/>
              </w:rPr>
              <w:t>中小企业声明函 拟投入人员及设备.docx 商务应答表.docx 报价表 其他.docx 响应文件封面 分项报价表.docx 供应商应提交的相关资格证明材料.docx 残疾人福利性单位声明函 服务方案 标的清单 服务内容及服务要求应答表.docx 响应函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项目总体理解与认识</w:t>
            </w:r>
          </w:p>
        </w:tc>
        <w:tc>
          <w:tcPr>
            <w:tcW w:type="dxa" w:w="2492"/>
          </w:tcPr>
          <w:p>
            <w:pPr>
              <w:pStyle w:val="null3"/>
            </w:pPr>
            <w:r>
              <w:rPr>
                <w:rFonts w:ascii="仿宋_GB2312" w:hAnsi="仿宋_GB2312" w:cs="仿宋_GB2312" w:eastAsia="仿宋_GB2312"/>
              </w:rPr>
              <w:t>评审内容：①项目背景②项目工作目标的总体理解与认识。评审标准：每一项方案内容全面详细、阐述条理清晰详尽、符合本项得2分，满分4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总体服务方案①项目前期资料收集、分析；②项目区域现状问题分析；③项目区域环境质量现状监测。评审标准：每一项方案内容全面详细、阐述条理清晰详尽、符合本项目得2分，满分6分，每项存在一处缺陷，扣1分，扣完为止。（缺陷是指：内容描述过于简单、条理不清晰、与项目内容不匹配、凭空编造、出现常识性错误、不可能实现的夸大情形、存在不适用项目实际情况的情形等。） 2、评审内容：项目实施方案①项目组织架构；②服务内容；③工作流程；④工作进度计划及成果交付时限；⑤环境评价报告编写。评审标准：每一项方案内容全面详细、阐述条理清晰详尽、符合本项目得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项目实施质量保证措施；②成果质量保证措施。评审标准：每一项方案内容全面详细、阐述条理清晰详尽、符合本项目得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评审内容：①重点难点分析；②合理化建议；③应急措施。每⼀项⽅案内容全面详细、阐述条理清晰详尽、符合本项目得3分，满分9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1、项目负责人具有本科及以上学历得5分，大专学历得3分，其余不得分。（毕业证复印件或扫描件加盖公章） 2、项目负责人具有环境保护相关专业高级及以上技术职称得5分，中级技术职称得3分，其余不得分。 （职称证书复印件或扫描件加盖公章） 3、项目负责人2023年1月至今主持过类似项目工作，每有一项得3分，最高得6分。（类似工作证明材料不限于中标（成交）通知书、业绩合同、履约验收证明等，证明材料须体现项目负责姓名。证明资料须为复印件或扫描件加盖供应商公章）</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拟投入人员及设备.docx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1、项目组成员（项目负责人除外）具有本科及以上学历，每有一人得3分，大专学历每有一人得2分，最高得6分。（毕业证复印件或扫描件加盖公章）2、项目组成员（项目负责人除外）具有相关专业高级及以上职称证书的每提供一个得3分，中级职称证书的每提供一个得2分，最高得6分。（职称证书复印件或扫描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拟投入人员及设备.docx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2023年1月以来（以合同时间为准）完成类似项目业绩，每提供一项得2分，最高10分。 注：响应文件中提供完整的合同复印件或扫描件加盖供应商公章。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项目团队稳定性承诺</w:t>
            </w:r>
          </w:p>
        </w:tc>
        <w:tc>
          <w:tcPr>
            <w:tcW w:type="dxa" w:w="2492"/>
          </w:tcPr>
          <w:p>
            <w:pPr>
              <w:pStyle w:val="null3"/>
            </w:pPr>
            <w:r>
              <w:rPr>
                <w:rFonts w:ascii="仿宋_GB2312" w:hAnsi="仿宋_GB2312" w:cs="仿宋_GB2312" w:eastAsia="仿宋_GB2312"/>
              </w:rPr>
              <w:t>1、承诺成交后，如遭遇不可抗力原因，不得更换响应文件中项目团队成员，得3分，未提供不得分。 2、承诺如遭遇不可抗力确需更换人员时，更换人员的资历不低于原人员，且按程序报采购人书面同意后方可更换，得3分，未提供不得分。本项满分共6分。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1、承诺完全响应磋商文件和合同条款的要求，对成果交付时间内质量、人员到位情况、后期服务的响应时间及配合程度等做出实质性承诺，得3分 2、以上内容当包含不能完全履行承诺时愿意接受处罚的相关承诺，得3分。本项满分共6分。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满足磋商文件要求且最终磋商报价最低的供应商的价格为磋商基准价，其价格分为满分。其他供应商的价格 分统一按照下列公式计算：磋商报价得分=（磋商基准价/磋商报价）×价格权值×100，小数点保留后两位。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详见附件：拟投入人员及设备.docx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