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53957D">
      <w:pPr>
        <w:pStyle w:val="9"/>
        <w:jc w:val="center"/>
        <w:outlineLvl w:val="1"/>
        <w:rPr>
          <w:highlight w:val="none"/>
        </w:rPr>
      </w:pPr>
      <w:r>
        <w:rPr>
          <w:rFonts w:ascii="仿宋_GB2312" w:hAnsi="仿宋_GB2312" w:eastAsia="仿宋_GB2312" w:cs="仿宋_GB2312"/>
          <w:b/>
          <w:sz w:val="36"/>
          <w:highlight w:val="none"/>
        </w:rPr>
        <w:t>拟签订采购合同文本</w:t>
      </w:r>
    </w:p>
    <w:p w14:paraId="4AFA2724">
      <w:pPr>
        <w:autoSpaceDE/>
        <w:autoSpaceDN/>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（本合同为参考模板，最终以双方签定的为准）</w:t>
      </w:r>
    </w:p>
    <w:p w14:paraId="6A25B38F">
      <w:pPr>
        <w:pStyle w:val="2"/>
        <w:rPr>
          <w:rFonts w:hint="eastAsia" w:ascii="宋体" w:hAnsi="宋体" w:eastAsia="宋体" w:cs="宋体"/>
          <w:color w:val="auto"/>
          <w:highlight w:val="none"/>
        </w:rPr>
      </w:pPr>
    </w:p>
    <w:p w14:paraId="4C9922FF">
      <w:pPr>
        <w:pStyle w:val="2"/>
        <w:pageBreakBefore w:val="0"/>
        <w:kinsoku/>
        <w:wordWrap/>
        <w:overflowPunct/>
        <w:topLinePunct w:val="0"/>
        <w:autoSpaceDE/>
        <w:autoSpaceDN/>
        <w:bidi w:val="0"/>
        <w:adjustRightInd w:val="0"/>
        <w:snapToGrid w:val="0"/>
        <w:spacing w:line="312" w:lineRule="auto"/>
        <w:ind w:left="0" w:leftChars="0"/>
        <w:rPr>
          <w:rFonts w:hint="eastAsia" w:ascii="宋体" w:hAnsi="宋体" w:eastAsia="宋体" w:cs="宋体"/>
          <w:color w:val="auto"/>
          <w:highlight w:val="none"/>
        </w:rPr>
      </w:pPr>
      <w:bookmarkStart w:id="553" w:name="_GoBack"/>
      <w:bookmarkEnd w:id="553"/>
    </w:p>
    <w:p w14:paraId="042CEBF5">
      <w:pPr>
        <w:rPr>
          <w:rFonts w:hint="eastAsia" w:ascii="宋体" w:hAnsi="宋体" w:eastAsia="宋体" w:cs="宋体"/>
          <w:color w:val="auto"/>
          <w:highlight w:val="none"/>
        </w:rPr>
      </w:pPr>
    </w:p>
    <w:p w14:paraId="56A8784B">
      <w:pPr>
        <w:pStyle w:val="10"/>
        <w:rPr>
          <w:rFonts w:hint="eastAsia" w:ascii="宋体" w:hAnsi="宋体" w:eastAsia="宋体" w:cs="宋体"/>
          <w:color w:val="auto"/>
          <w:highlight w:val="none"/>
        </w:rPr>
      </w:pPr>
    </w:p>
    <w:p w14:paraId="06228D39">
      <w:pPr>
        <w:pageBreakBefore w:val="0"/>
        <w:widowControl/>
        <w:kinsoku/>
        <w:wordWrap/>
        <w:overflowPunct/>
        <w:topLinePunct w:val="0"/>
        <w:autoSpaceDE/>
        <w:autoSpaceDN/>
        <w:bidi w:val="0"/>
        <w:adjustRightInd w:val="0"/>
        <w:snapToGrid w:val="0"/>
        <w:spacing w:line="312" w:lineRule="auto"/>
        <w:ind w:left="0" w:leftChars="0"/>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工</w:t>
      </w:r>
    </w:p>
    <w:p w14:paraId="3B8FCA58">
      <w:pPr>
        <w:pageBreakBefore w:val="0"/>
        <w:widowControl/>
        <w:kinsoku/>
        <w:wordWrap/>
        <w:overflowPunct/>
        <w:topLinePunct w:val="0"/>
        <w:autoSpaceDE/>
        <w:autoSpaceDN/>
        <w:bidi w:val="0"/>
        <w:adjustRightInd w:val="0"/>
        <w:snapToGrid w:val="0"/>
        <w:spacing w:line="312" w:lineRule="auto"/>
        <w:ind w:left="0" w:leftChars="0"/>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程</w:t>
      </w:r>
    </w:p>
    <w:p w14:paraId="5B07DE03">
      <w:pPr>
        <w:pageBreakBefore w:val="0"/>
        <w:widowControl/>
        <w:kinsoku/>
        <w:wordWrap/>
        <w:overflowPunct/>
        <w:topLinePunct w:val="0"/>
        <w:autoSpaceDE/>
        <w:autoSpaceDN/>
        <w:bidi w:val="0"/>
        <w:adjustRightInd w:val="0"/>
        <w:snapToGrid w:val="0"/>
        <w:spacing w:line="312" w:lineRule="auto"/>
        <w:ind w:left="0" w:leftChars="0"/>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施</w:t>
      </w:r>
    </w:p>
    <w:p w14:paraId="00693E31">
      <w:pPr>
        <w:pageBreakBefore w:val="0"/>
        <w:widowControl/>
        <w:kinsoku/>
        <w:wordWrap/>
        <w:overflowPunct/>
        <w:topLinePunct w:val="0"/>
        <w:autoSpaceDE/>
        <w:autoSpaceDN/>
        <w:bidi w:val="0"/>
        <w:adjustRightInd w:val="0"/>
        <w:snapToGrid w:val="0"/>
        <w:spacing w:line="312" w:lineRule="auto"/>
        <w:ind w:left="0" w:leftChars="0"/>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工</w:t>
      </w:r>
    </w:p>
    <w:p w14:paraId="08A7EA08">
      <w:pPr>
        <w:pageBreakBefore w:val="0"/>
        <w:widowControl/>
        <w:kinsoku/>
        <w:wordWrap/>
        <w:overflowPunct/>
        <w:topLinePunct w:val="0"/>
        <w:autoSpaceDE/>
        <w:autoSpaceDN/>
        <w:bidi w:val="0"/>
        <w:adjustRightInd w:val="0"/>
        <w:snapToGrid w:val="0"/>
        <w:spacing w:line="312" w:lineRule="auto"/>
        <w:ind w:left="0" w:leftChars="0"/>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合</w:t>
      </w:r>
    </w:p>
    <w:p w14:paraId="33C189D5">
      <w:pPr>
        <w:pageBreakBefore w:val="0"/>
        <w:widowControl/>
        <w:kinsoku/>
        <w:wordWrap/>
        <w:overflowPunct/>
        <w:topLinePunct w:val="0"/>
        <w:autoSpaceDE/>
        <w:autoSpaceDN/>
        <w:bidi w:val="0"/>
        <w:adjustRightInd w:val="0"/>
        <w:snapToGrid w:val="0"/>
        <w:spacing w:line="312" w:lineRule="auto"/>
        <w:ind w:left="0" w:leftChars="0"/>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同</w:t>
      </w:r>
    </w:p>
    <w:p w14:paraId="1FFBF947">
      <w:pPr>
        <w:pStyle w:val="2"/>
        <w:pageBreakBefore w:val="0"/>
        <w:kinsoku/>
        <w:wordWrap/>
        <w:overflowPunct/>
        <w:topLinePunct w:val="0"/>
        <w:autoSpaceDE/>
        <w:autoSpaceDN/>
        <w:bidi w:val="0"/>
        <w:adjustRightInd w:val="0"/>
        <w:snapToGrid w:val="0"/>
        <w:spacing w:line="312" w:lineRule="auto"/>
        <w:ind w:left="0" w:leftChars="0"/>
        <w:rPr>
          <w:rFonts w:hint="eastAsia" w:ascii="宋体" w:hAnsi="宋体" w:eastAsia="宋体" w:cs="宋体"/>
          <w:b/>
          <w:color w:val="auto"/>
          <w:sz w:val="52"/>
          <w:szCs w:val="52"/>
          <w:highlight w:val="none"/>
        </w:rPr>
      </w:pPr>
    </w:p>
    <w:p w14:paraId="7BEC2B2F">
      <w:pPr>
        <w:pStyle w:val="2"/>
        <w:pageBreakBefore w:val="0"/>
        <w:kinsoku/>
        <w:wordWrap/>
        <w:overflowPunct/>
        <w:topLinePunct w:val="0"/>
        <w:autoSpaceDE/>
        <w:autoSpaceDN/>
        <w:bidi w:val="0"/>
        <w:adjustRightInd w:val="0"/>
        <w:snapToGrid w:val="0"/>
        <w:spacing w:line="312" w:lineRule="auto"/>
        <w:ind w:left="0" w:leftChars="0"/>
        <w:rPr>
          <w:rFonts w:hint="eastAsia" w:ascii="宋体" w:hAnsi="宋体" w:eastAsia="宋体" w:cs="宋体"/>
          <w:b/>
          <w:color w:val="auto"/>
          <w:sz w:val="52"/>
          <w:szCs w:val="52"/>
          <w:highlight w:val="none"/>
        </w:rPr>
      </w:pPr>
    </w:p>
    <w:p w14:paraId="6335C9CE">
      <w:pPr>
        <w:pageBreakBefore w:val="0"/>
        <w:kinsoku/>
        <w:wordWrap/>
        <w:overflowPunct/>
        <w:topLinePunct w:val="0"/>
        <w:autoSpaceDE/>
        <w:autoSpaceDN/>
        <w:bidi w:val="0"/>
        <w:adjustRightInd w:val="0"/>
        <w:snapToGrid w:val="0"/>
        <w:spacing w:line="312" w:lineRule="auto"/>
        <w:ind w:left="0" w:leftChars="0" w:firstLine="2249" w:firstLineChars="800"/>
        <w:jc w:val="both"/>
        <w:rPr>
          <w:rFonts w:hint="eastAsia" w:ascii="宋体" w:hAnsi="宋体" w:eastAsia="宋体" w:cs="宋体"/>
          <w:b/>
          <w:color w:val="auto"/>
          <w:sz w:val="28"/>
          <w:szCs w:val="28"/>
          <w:highlight w:val="none"/>
          <w:u w:val="single"/>
        </w:rPr>
      </w:pPr>
      <w:r>
        <w:rPr>
          <w:rFonts w:hint="eastAsia" w:ascii="宋体" w:hAnsi="宋体" w:eastAsia="宋体" w:cs="宋体"/>
          <w:b/>
          <w:bCs/>
          <w:color w:val="auto"/>
          <w:sz w:val="28"/>
          <w:szCs w:val="28"/>
          <w:highlight w:val="none"/>
        </w:rPr>
        <w:t>发 包 人：</w:t>
      </w:r>
      <w:r>
        <w:rPr>
          <w:rFonts w:hint="eastAsia" w:ascii="宋体" w:hAnsi="宋体" w:eastAsia="宋体" w:cs="宋体"/>
          <w:b/>
          <w:bCs/>
          <w:color w:val="auto"/>
          <w:sz w:val="28"/>
          <w:szCs w:val="28"/>
          <w:highlight w:val="none"/>
          <w:u w:val="single"/>
        </w:rPr>
        <w:t xml:space="preserve">                         </w:t>
      </w:r>
    </w:p>
    <w:p w14:paraId="2C4EB7F8">
      <w:pPr>
        <w:pageBreakBefore w:val="0"/>
        <w:widowControl/>
        <w:kinsoku/>
        <w:wordWrap/>
        <w:overflowPunct/>
        <w:topLinePunct w:val="0"/>
        <w:autoSpaceDE/>
        <w:autoSpaceDN/>
        <w:bidi w:val="0"/>
        <w:adjustRightInd w:val="0"/>
        <w:snapToGrid w:val="0"/>
        <w:spacing w:line="312" w:lineRule="auto"/>
        <w:ind w:left="0" w:leftChars="0" w:firstLine="2327" w:firstLineChars="828"/>
        <w:rPr>
          <w:rFonts w:hint="eastAsia" w:ascii="宋体" w:hAnsi="宋体" w:eastAsia="宋体" w:cs="宋体"/>
          <w:b/>
          <w:bCs/>
          <w:color w:val="auto"/>
          <w:sz w:val="28"/>
          <w:szCs w:val="28"/>
          <w:highlight w:val="none"/>
        </w:rPr>
      </w:pPr>
    </w:p>
    <w:p w14:paraId="5D5CF6C8">
      <w:pPr>
        <w:pageBreakBefore w:val="0"/>
        <w:widowControl/>
        <w:kinsoku/>
        <w:wordWrap/>
        <w:overflowPunct/>
        <w:topLinePunct w:val="0"/>
        <w:autoSpaceDE/>
        <w:autoSpaceDN/>
        <w:bidi w:val="0"/>
        <w:adjustRightInd w:val="0"/>
        <w:snapToGrid w:val="0"/>
        <w:spacing w:line="312" w:lineRule="auto"/>
        <w:ind w:left="0" w:leftChars="0" w:firstLine="2327" w:firstLineChars="828"/>
        <w:rPr>
          <w:rFonts w:hint="eastAsia" w:ascii="宋体" w:hAnsi="宋体" w:eastAsia="宋体" w:cs="宋体"/>
          <w:b/>
          <w:bCs/>
          <w:color w:val="auto"/>
          <w:sz w:val="28"/>
          <w:szCs w:val="28"/>
          <w:highlight w:val="none"/>
          <w:u w:val="single"/>
        </w:rPr>
      </w:pPr>
      <w:r>
        <w:rPr>
          <w:rFonts w:hint="eastAsia" w:ascii="宋体" w:hAnsi="宋体" w:eastAsia="宋体" w:cs="宋体"/>
          <w:b/>
          <w:bCs/>
          <w:color w:val="auto"/>
          <w:sz w:val="28"/>
          <w:szCs w:val="28"/>
          <w:highlight w:val="none"/>
        </w:rPr>
        <w:t>承 包 人：</w:t>
      </w:r>
      <w:r>
        <w:rPr>
          <w:rFonts w:hint="eastAsia" w:ascii="宋体" w:hAnsi="宋体" w:eastAsia="宋体" w:cs="宋体"/>
          <w:b/>
          <w:bCs/>
          <w:color w:val="auto"/>
          <w:sz w:val="28"/>
          <w:szCs w:val="28"/>
          <w:highlight w:val="none"/>
          <w:u w:val="single"/>
        </w:rPr>
        <w:t xml:space="preserve">                         </w:t>
      </w:r>
    </w:p>
    <w:p w14:paraId="3FA6734A">
      <w:pPr>
        <w:pageBreakBefore w:val="0"/>
        <w:widowControl/>
        <w:kinsoku/>
        <w:wordWrap/>
        <w:overflowPunct/>
        <w:topLinePunct w:val="0"/>
        <w:autoSpaceDE/>
        <w:autoSpaceDN/>
        <w:bidi w:val="0"/>
        <w:adjustRightInd w:val="0"/>
        <w:snapToGrid w:val="0"/>
        <w:spacing w:line="312" w:lineRule="auto"/>
        <w:ind w:left="0" w:leftChars="0"/>
        <w:jc w:val="center"/>
        <w:rPr>
          <w:rFonts w:hint="eastAsia" w:ascii="宋体" w:hAnsi="宋体" w:eastAsia="宋体" w:cs="宋体"/>
          <w:b/>
          <w:bCs/>
          <w:color w:val="auto"/>
          <w:sz w:val="28"/>
          <w:szCs w:val="28"/>
          <w:highlight w:val="none"/>
        </w:rPr>
      </w:pPr>
    </w:p>
    <w:p w14:paraId="0210F628">
      <w:pPr>
        <w:pageBreakBefore w:val="0"/>
        <w:widowControl/>
        <w:kinsoku/>
        <w:wordWrap/>
        <w:overflowPunct/>
        <w:topLinePunct w:val="0"/>
        <w:autoSpaceDE/>
        <w:autoSpaceDN/>
        <w:bidi w:val="0"/>
        <w:adjustRightInd w:val="0"/>
        <w:snapToGrid w:val="0"/>
        <w:spacing w:line="312" w:lineRule="auto"/>
        <w:ind w:left="0" w:leftChars="0" w:firstLine="2327" w:firstLineChars="828"/>
        <w:rPr>
          <w:rFonts w:hint="eastAsia" w:ascii="宋体" w:hAnsi="宋体" w:eastAsia="宋体" w:cs="宋体"/>
          <w:b/>
          <w:bCs/>
          <w:color w:val="auto"/>
          <w:sz w:val="36"/>
          <w:szCs w:val="36"/>
          <w:highlight w:val="none"/>
        </w:rPr>
      </w:pPr>
      <w:r>
        <w:rPr>
          <w:rFonts w:hint="eastAsia" w:ascii="宋体" w:hAnsi="宋体" w:eastAsia="宋体" w:cs="宋体"/>
          <w:b/>
          <w:bCs/>
          <w:color w:val="auto"/>
          <w:sz w:val="28"/>
          <w:szCs w:val="28"/>
          <w:highlight w:val="none"/>
        </w:rPr>
        <w:t>时    间：</w:t>
      </w:r>
      <w:r>
        <w:rPr>
          <w:rFonts w:hint="eastAsia" w:ascii="宋体" w:hAnsi="宋体" w:eastAsia="宋体" w:cs="宋体"/>
          <w:b/>
          <w:bCs/>
          <w:color w:val="auto"/>
          <w:sz w:val="28"/>
          <w:szCs w:val="28"/>
          <w:highlight w:val="none"/>
          <w:u w:val="single"/>
        </w:rPr>
        <w:t xml:space="preserve">                         </w:t>
      </w:r>
    </w:p>
    <w:p w14:paraId="56D3E8ED">
      <w:pPr>
        <w:pageBreakBefore w:val="0"/>
        <w:kinsoku/>
        <w:wordWrap/>
        <w:overflowPunct/>
        <w:topLinePunct w:val="0"/>
        <w:autoSpaceDE/>
        <w:autoSpaceDN/>
        <w:bidi w:val="0"/>
        <w:adjustRightInd w:val="0"/>
        <w:snapToGrid w:val="0"/>
        <w:spacing w:line="312" w:lineRule="auto"/>
        <w:ind w:left="0" w:leftChars="0"/>
        <w:jc w:val="center"/>
        <w:rPr>
          <w:rFonts w:hint="eastAsia" w:ascii="宋体" w:hAnsi="宋体" w:eastAsia="宋体" w:cs="宋体"/>
          <w:color w:val="auto"/>
          <w:sz w:val="36"/>
          <w:szCs w:val="36"/>
          <w:highlight w:val="none"/>
        </w:rPr>
        <w:sectPr>
          <w:headerReference r:id="rId3" w:type="default"/>
          <w:footerReference r:id="rId4" w:type="default"/>
          <w:footerReference r:id="rId5" w:type="even"/>
          <w:pgSz w:w="11906" w:h="16838"/>
          <w:pgMar w:top="1440" w:right="1417" w:bottom="1440" w:left="1417" w:header="851" w:footer="992" w:gutter="0"/>
          <w:pgBorders>
            <w:top w:val="none" w:sz="0" w:space="0"/>
            <w:left w:val="none" w:sz="0" w:space="0"/>
            <w:bottom w:val="none" w:sz="0" w:space="0"/>
            <w:right w:val="none" w:sz="0" w:space="0"/>
          </w:pgBorders>
          <w:pgNumType w:fmt="decimal" w:start="1"/>
          <w:cols w:space="720" w:num="1"/>
          <w:docGrid w:linePitch="312" w:charSpace="0"/>
        </w:sectPr>
      </w:pPr>
    </w:p>
    <w:p w14:paraId="64A59205">
      <w:pPr>
        <w:keepLines w:val="0"/>
        <w:pageBreakBefore w:val="0"/>
        <w:shd w:val="clear" w:color="auto" w:fill="auto"/>
        <w:kinsoku/>
        <w:wordWrap/>
        <w:overflowPunct/>
        <w:topLinePunct w:val="0"/>
        <w:bidi w:val="0"/>
        <w:snapToGrid/>
        <w:spacing w:line="360" w:lineRule="auto"/>
        <w:jc w:val="center"/>
        <w:outlineLvl w:val="1"/>
        <w:rPr>
          <w:rFonts w:hint="eastAsia" w:ascii="宋体" w:hAnsi="宋体" w:eastAsia="宋体" w:cs="宋体"/>
          <w:b w:val="0"/>
          <w:bCs/>
          <w:color w:val="auto"/>
          <w:sz w:val="24"/>
          <w:szCs w:val="24"/>
          <w:highlight w:val="none"/>
        </w:rPr>
      </w:pPr>
      <w:bookmarkStart w:id="0" w:name="_Toc19132"/>
      <w:bookmarkStart w:id="1" w:name="_Toc296503025"/>
      <w:bookmarkStart w:id="2" w:name="_Toc25121"/>
      <w:bookmarkStart w:id="3" w:name="_Toc32498"/>
      <w:bookmarkStart w:id="4" w:name="_Toc296890982"/>
      <w:bookmarkStart w:id="5" w:name="_Toc351203480"/>
      <w:r>
        <w:rPr>
          <w:rFonts w:hint="eastAsia" w:ascii="宋体" w:hAnsi="宋体" w:eastAsia="宋体" w:cs="宋体"/>
          <w:b/>
          <w:bCs w:val="0"/>
          <w:color w:val="auto"/>
          <w:sz w:val="32"/>
          <w:szCs w:val="32"/>
          <w:highlight w:val="none"/>
        </w:rPr>
        <w:t>第一部分 合同协议书</w:t>
      </w:r>
      <w:bookmarkEnd w:id="0"/>
      <w:bookmarkEnd w:id="1"/>
      <w:bookmarkEnd w:id="2"/>
      <w:bookmarkEnd w:id="3"/>
      <w:bookmarkEnd w:id="4"/>
      <w:bookmarkEnd w:id="5"/>
    </w:p>
    <w:p w14:paraId="0E454084">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发包人（全称）</w:t>
      </w:r>
      <w:r>
        <w:rPr>
          <w:rFonts w:hint="eastAsia" w:ascii="宋体" w:hAnsi="宋体" w:eastAsia="宋体" w:cs="宋体"/>
          <w:color w:val="auto"/>
          <w:sz w:val="24"/>
          <w:szCs w:val="24"/>
          <w:highlight w:val="none"/>
          <w:u w:val="none"/>
          <w:lang w:val="zh-CN"/>
        </w:rPr>
        <w:t>：</w:t>
      </w:r>
      <w:r>
        <w:rPr>
          <w:rFonts w:hint="eastAsia" w:ascii="宋体" w:hAnsi="宋体" w:eastAsia="宋体" w:cs="宋体"/>
          <w:color w:val="auto"/>
          <w:sz w:val="24"/>
          <w:szCs w:val="24"/>
          <w:highlight w:val="none"/>
          <w:u w:val="single"/>
          <w:lang w:val="zh-CN"/>
        </w:rPr>
        <w:t>                       </w:t>
      </w:r>
    </w:p>
    <w:p w14:paraId="398F43ED">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承包人（全称）：</w:t>
      </w:r>
      <w:r>
        <w:rPr>
          <w:rFonts w:hint="eastAsia" w:ascii="宋体" w:hAnsi="宋体" w:eastAsia="宋体" w:cs="宋体"/>
          <w:color w:val="auto"/>
          <w:sz w:val="24"/>
          <w:szCs w:val="24"/>
          <w:highlight w:val="none"/>
          <w:u w:val="single"/>
          <w:lang w:val="zh-CN"/>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  </w:t>
      </w:r>
    </w:p>
    <w:p w14:paraId="6EF4FE2C">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根据《中华人民共和国合同法》、《中华人民共和国建筑法》及有关法律规定，遵循平等、自愿、公平和诚实信用的原则，双方就</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工程施工及有关事项协商一致，共同达成如下协议：</w:t>
      </w:r>
    </w:p>
    <w:p w14:paraId="7B1AC203">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bookmarkStart w:id="6" w:name="_Toc351203481"/>
      <w:r>
        <w:rPr>
          <w:rFonts w:hint="eastAsia" w:ascii="宋体" w:hAnsi="宋体" w:eastAsia="宋体" w:cs="宋体"/>
          <w:color w:val="auto"/>
          <w:sz w:val="24"/>
          <w:szCs w:val="24"/>
          <w:highlight w:val="none"/>
          <w:lang w:val="zh-CN"/>
        </w:rPr>
        <w:t>一、工程概况</w:t>
      </w:r>
      <w:bookmarkEnd w:id="6"/>
    </w:p>
    <w:p w14:paraId="5E866F93">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1.工程名称：</w:t>
      </w:r>
      <w:r>
        <w:rPr>
          <w:rFonts w:hint="eastAsia" w:ascii="宋体" w:hAnsi="宋体" w:eastAsia="宋体" w:cs="宋体"/>
          <w:color w:val="auto"/>
          <w:sz w:val="24"/>
          <w:szCs w:val="24"/>
          <w:highlight w:val="none"/>
          <w:u w:val="single"/>
          <w:lang w:val="zh-CN"/>
        </w:rPr>
        <w:t>                       </w:t>
      </w:r>
      <w:r>
        <w:rPr>
          <w:rFonts w:hint="eastAsia" w:ascii="宋体" w:hAnsi="宋体" w:eastAsia="宋体" w:cs="宋体"/>
          <w:color w:val="auto"/>
          <w:sz w:val="24"/>
          <w:szCs w:val="24"/>
          <w:highlight w:val="none"/>
          <w:lang w:val="zh-CN"/>
        </w:rPr>
        <w:t>。</w:t>
      </w:r>
    </w:p>
    <w:p w14:paraId="24A64350">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2.工程地点：</w:t>
      </w:r>
      <w:r>
        <w:rPr>
          <w:rFonts w:hint="eastAsia" w:ascii="宋体" w:hAnsi="宋体" w:eastAsia="宋体" w:cs="宋体"/>
          <w:color w:val="auto"/>
          <w:sz w:val="24"/>
          <w:szCs w:val="24"/>
          <w:highlight w:val="none"/>
          <w:u w:val="single"/>
          <w:lang w:val="zh-CN"/>
        </w:rPr>
        <w:t>                       </w:t>
      </w:r>
      <w:r>
        <w:rPr>
          <w:rFonts w:hint="eastAsia" w:ascii="宋体" w:hAnsi="宋体" w:eastAsia="宋体" w:cs="宋体"/>
          <w:color w:val="auto"/>
          <w:sz w:val="24"/>
          <w:szCs w:val="24"/>
          <w:highlight w:val="none"/>
          <w:lang w:val="zh-CN"/>
        </w:rPr>
        <w:t>。</w:t>
      </w:r>
    </w:p>
    <w:p w14:paraId="0D98557A">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3.工程立项批准文号：</w:t>
      </w:r>
      <w:r>
        <w:rPr>
          <w:rFonts w:hint="eastAsia" w:ascii="宋体" w:hAnsi="宋体" w:eastAsia="宋体" w:cs="宋体"/>
          <w:color w:val="auto"/>
          <w:sz w:val="24"/>
          <w:szCs w:val="24"/>
          <w:highlight w:val="none"/>
          <w:u w:val="single"/>
          <w:lang w:val="zh-CN"/>
        </w:rPr>
        <w:t>                   </w:t>
      </w:r>
      <w:r>
        <w:rPr>
          <w:rFonts w:hint="eastAsia" w:ascii="宋体" w:hAnsi="宋体" w:eastAsia="宋体" w:cs="宋体"/>
          <w:color w:val="auto"/>
          <w:sz w:val="24"/>
          <w:szCs w:val="24"/>
          <w:highlight w:val="none"/>
          <w:lang w:val="zh-CN"/>
        </w:rPr>
        <w:t>。</w:t>
      </w:r>
    </w:p>
    <w:p w14:paraId="34958E15">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4.资金来源：</w:t>
      </w:r>
      <w:r>
        <w:rPr>
          <w:rFonts w:hint="eastAsia" w:ascii="宋体" w:hAnsi="宋体" w:eastAsia="宋体" w:cs="宋体"/>
          <w:color w:val="auto"/>
          <w:sz w:val="24"/>
          <w:szCs w:val="24"/>
          <w:highlight w:val="none"/>
          <w:u w:val="single"/>
          <w:lang w:val="zh-CN"/>
        </w:rPr>
        <w:t>                       </w:t>
      </w:r>
      <w:r>
        <w:rPr>
          <w:rFonts w:hint="eastAsia" w:ascii="宋体" w:hAnsi="宋体" w:eastAsia="宋体" w:cs="宋体"/>
          <w:color w:val="auto"/>
          <w:sz w:val="24"/>
          <w:szCs w:val="24"/>
          <w:highlight w:val="none"/>
          <w:lang w:val="zh-CN"/>
        </w:rPr>
        <w:t>。</w:t>
      </w:r>
    </w:p>
    <w:p w14:paraId="4A1BE481">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5.工程内容：</w:t>
      </w:r>
      <w:r>
        <w:rPr>
          <w:rFonts w:hint="eastAsia" w:ascii="宋体" w:hAnsi="宋体" w:eastAsia="宋体" w:cs="宋体"/>
          <w:color w:val="auto"/>
          <w:sz w:val="24"/>
          <w:szCs w:val="24"/>
          <w:highlight w:val="none"/>
          <w:u w:val="single"/>
          <w:lang w:val="zh-CN"/>
        </w:rPr>
        <w:t>                       </w:t>
      </w:r>
      <w:r>
        <w:rPr>
          <w:rFonts w:hint="eastAsia" w:ascii="宋体" w:hAnsi="宋体" w:eastAsia="宋体" w:cs="宋体"/>
          <w:color w:val="auto"/>
          <w:sz w:val="24"/>
          <w:szCs w:val="24"/>
          <w:highlight w:val="none"/>
          <w:lang w:val="zh-CN"/>
        </w:rPr>
        <w:t>。</w:t>
      </w:r>
    </w:p>
    <w:p w14:paraId="1AF7BA8F">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群体工程应附《承包人承揽工程项目一览表》（附件1）。</w:t>
      </w:r>
    </w:p>
    <w:p w14:paraId="202B2D25">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6.工程承包范围：</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43EE5B12">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bookmarkStart w:id="7" w:name="_Toc351203482"/>
      <w:r>
        <w:rPr>
          <w:rFonts w:hint="eastAsia" w:ascii="宋体" w:hAnsi="宋体" w:eastAsia="宋体" w:cs="宋体"/>
          <w:color w:val="auto"/>
          <w:sz w:val="24"/>
          <w:szCs w:val="24"/>
          <w:highlight w:val="none"/>
          <w:lang w:val="zh-CN"/>
        </w:rPr>
        <w:t>二、合同工期</w:t>
      </w:r>
      <w:bookmarkEnd w:id="7"/>
    </w:p>
    <w:p w14:paraId="3C854789">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计划开工日期：</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rPr>
        <w:t>月</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rPr>
        <w:t>日。</w:t>
      </w:r>
    </w:p>
    <w:p w14:paraId="61E6DEDD">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计划竣工日期：</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rPr>
        <w:t>月</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rPr>
        <w:t>日。</w:t>
      </w:r>
    </w:p>
    <w:p w14:paraId="3FBDEE3C">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工期总日历天数：</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rPr>
        <w:t>天。工期总日历天数与根据前述计划开竣工日期计算的工期天数不一致的，以工期总日历天数为准。</w:t>
      </w:r>
    </w:p>
    <w:p w14:paraId="47F095A6">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bookmarkStart w:id="8" w:name="_Toc351203483"/>
      <w:r>
        <w:rPr>
          <w:rFonts w:hint="eastAsia" w:ascii="宋体" w:hAnsi="宋体" w:eastAsia="宋体" w:cs="宋体"/>
          <w:color w:val="auto"/>
          <w:sz w:val="24"/>
          <w:szCs w:val="24"/>
          <w:highlight w:val="none"/>
          <w:lang w:val="zh-CN"/>
        </w:rPr>
        <w:t>三、质量标准</w:t>
      </w:r>
      <w:bookmarkEnd w:id="8"/>
    </w:p>
    <w:p w14:paraId="41C1F693">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工程质量符合</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lang w:val="zh-CN"/>
        </w:rPr>
        <w:t>标准。</w:t>
      </w:r>
    </w:p>
    <w:p w14:paraId="2851BE8E">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bookmarkStart w:id="9" w:name="_Toc351203484"/>
      <w:r>
        <w:rPr>
          <w:rFonts w:hint="eastAsia" w:ascii="宋体" w:hAnsi="宋体" w:eastAsia="宋体" w:cs="宋体"/>
          <w:color w:val="auto"/>
          <w:sz w:val="24"/>
          <w:szCs w:val="24"/>
          <w:highlight w:val="none"/>
          <w:lang w:val="zh-CN"/>
        </w:rPr>
        <w:t>四、签约合同价与合同价格形式</w:t>
      </w:r>
      <w:bookmarkEnd w:id="9"/>
      <w:r>
        <w:rPr>
          <w:rFonts w:hint="eastAsia" w:ascii="宋体" w:hAnsi="宋体" w:eastAsia="宋体" w:cs="宋体"/>
          <w:color w:val="auto"/>
          <w:sz w:val="24"/>
          <w:szCs w:val="24"/>
          <w:highlight w:val="none"/>
          <w:lang w:val="zh-CN"/>
        </w:rPr>
        <w:tab/>
      </w:r>
    </w:p>
    <w:p w14:paraId="7C964830">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1.签约合同价为：</w:t>
      </w:r>
    </w:p>
    <w:p w14:paraId="4117C050">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人民币（大写）</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元)；</w:t>
      </w:r>
    </w:p>
    <w:p w14:paraId="1E5A435B">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其中：</w:t>
      </w:r>
    </w:p>
    <w:p w14:paraId="5EE26E04">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（1）安全文明施工费：</w:t>
      </w:r>
    </w:p>
    <w:p w14:paraId="5CE4133A">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人民币（大写）</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元)；</w:t>
      </w:r>
    </w:p>
    <w:p w14:paraId="6854D85E">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（2）材料和工程设备暂估价金额：</w:t>
      </w:r>
    </w:p>
    <w:p w14:paraId="7C293633">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人民币（大写）</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元)；</w:t>
      </w:r>
    </w:p>
    <w:p w14:paraId="61187776">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（3）专业工程暂估价金额：</w:t>
      </w:r>
    </w:p>
    <w:p w14:paraId="40C244E6">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人民币（大写）</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元)；</w:t>
      </w:r>
    </w:p>
    <w:p w14:paraId="4E1BB7C4">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（4）暂列金额：</w:t>
      </w:r>
    </w:p>
    <w:p w14:paraId="2D5DFEEA">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人民币（大写）</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元)；</w:t>
      </w:r>
    </w:p>
    <w:p w14:paraId="2934995C">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2.合同价格形式：</w:t>
      </w:r>
      <w:r>
        <w:rPr>
          <w:rFonts w:hint="eastAsia" w:ascii="宋体" w:hAnsi="宋体" w:eastAsia="宋体" w:cs="宋体"/>
          <w:color w:val="auto"/>
          <w:sz w:val="24"/>
          <w:szCs w:val="24"/>
          <w:highlight w:val="none"/>
          <w:u w:val="single"/>
          <w:lang w:val="zh-CN"/>
        </w:rPr>
        <w:t>                      </w:t>
      </w:r>
      <w:r>
        <w:rPr>
          <w:rFonts w:hint="eastAsia" w:ascii="宋体" w:hAnsi="宋体" w:eastAsia="宋体" w:cs="宋体"/>
          <w:color w:val="auto"/>
          <w:sz w:val="24"/>
          <w:szCs w:val="24"/>
          <w:highlight w:val="none"/>
          <w:lang w:val="zh-CN"/>
        </w:rPr>
        <w:t>。</w:t>
      </w:r>
    </w:p>
    <w:p w14:paraId="4B723DE4">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bookmarkStart w:id="10" w:name="_Toc351203485"/>
      <w:r>
        <w:rPr>
          <w:rFonts w:hint="eastAsia" w:ascii="宋体" w:hAnsi="宋体" w:eastAsia="宋体" w:cs="宋体"/>
          <w:color w:val="auto"/>
          <w:sz w:val="24"/>
          <w:szCs w:val="24"/>
          <w:highlight w:val="none"/>
          <w:lang w:val="zh-CN"/>
        </w:rPr>
        <w:t>五、</w:t>
      </w:r>
      <w:bookmarkEnd w:id="10"/>
      <w:r>
        <w:rPr>
          <w:rFonts w:hint="eastAsia" w:ascii="宋体" w:hAnsi="宋体" w:eastAsia="宋体" w:cs="宋体"/>
          <w:color w:val="auto"/>
          <w:sz w:val="24"/>
          <w:szCs w:val="24"/>
          <w:highlight w:val="none"/>
          <w:lang w:val="zh-CN"/>
        </w:rPr>
        <w:t>项目经理</w:t>
      </w:r>
    </w:p>
    <w:p w14:paraId="451BC7F3">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承包人项目经理：</w:t>
      </w:r>
      <w:r>
        <w:rPr>
          <w:rFonts w:hint="eastAsia" w:ascii="宋体" w:hAnsi="宋体" w:eastAsia="宋体" w:cs="宋体"/>
          <w:color w:val="auto"/>
          <w:sz w:val="24"/>
          <w:szCs w:val="24"/>
          <w:highlight w:val="none"/>
          <w:u w:val="single"/>
          <w:lang w:val="zh-CN"/>
        </w:rPr>
        <w:t>                     </w:t>
      </w:r>
      <w:r>
        <w:rPr>
          <w:rFonts w:hint="eastAsia" w:ascii="宋体" w:hAnsi="宋体" w:eastAsia="宋体" w:cs="宋体"/>
          <w:color w:val="auto"/>
          <w:sz w:val="24"/>
          <w:szCs w:val="24"/>
          <w:highlight w:val="none"/>
          <w:lang w:val="zh-CN"/>
        </w:rPr>
        <w:t>。</w:t>
      </w:r>
    </w:p>
    <w:p w14:paraId="5DF13BF6">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bookmarkStart w:id="11" w:name="_Toc351203486"/>
      <w:r>
        <w:rPr>
          <w:rFonts w:hint="eastAsia" w:ascii="宋体" w:hAnsi="宋体" w:eastAsia="宋体" w:cs="宋体"/>
          <w:color w:val="auto"/>
          <w:sz w:val="24"/>
          <w:szCs w:val="24"/>
          <w:highlight w:val="none"/>
          <w:lang w:val="zh-CN"/>
        </w:rPr>
        <w:t>六、合同文件构成</w:t>
      </w:r>
      <w:bookmarkEnd w:id="11"/>
    </w:p>
    <w:p w14:paraId="6215DCF2">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本协议书与下列文件一起构成合同文件：</w:t>
      </w:r>
    </w:p>
    <w:p w14:paraId="6224DC13">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（1）成交通知书（如果有）；</w:t>
      </w:r>
    </w:p>
    <w:p w14:paraId="6BAA51BD">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（2）投标函及其附录（如果有）； </w:t>
      </w:r>
    </w:p>
    <w:p w14:paraId="5633BAF5">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（3）专用合同条款及其附件；</w:t>
      </w:r>
    </w:p>
    <w:p w14:paraId="76D0C22B">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（4）通用合同条款；</w:t>
      </w:r>
    </w:p>
    <w:p w14:paraId="31D9EF3C">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（5）技术标准和要求；</w:t>
      </w:r>
    </w:p>
    <w:p w14:paraId="52D9543A">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val="zh-CN"/>
        </w:rPr>
        <w:t>）已标价工程量清单或预算书；</w:t>
      </w:r>
    </w:p>
    <w:p w14:paraId="10512F04">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val="zh-CN"/>
        </w:rPr>
        <w:t>）其他合同文件。</w:t>
      </w:r>
    </w:p>
    <w:p w14:paraId="669DB5E6">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在合同订立及履行过程中形成的与合同有关的文件均构成合同文件组成部分。</w:t>
      </w:r>
    </w:p>
    <w:p w14:paraId="4C2E90AC">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上述各项合同文件包括合同当事人就该项合同文件所作出的补充和修改，属于同一类内容的文件，应以最新签署的为准。专用合同条款及其附件须经合同当事人签字或盖章。</w:t>
      </w:r>
    </w:p>
    <w:p w14:paraId="34CA7915">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bookmarkStart w:id="12" w:name="_Toc351203487"/>
      <w:r>
        <w:rPr>
          <w:rFonts w:hint="eastAsia" w:ascii="宋体" w:hAnsi="宋体" w:eastAsia="宋体" w:cs="宋体"/>
          <w:color w:val="auto"/>
          <w:sz w:val="24"/>
          <w:szCs w:val="24"/>
          <w:highlight w:val="none"/>
          <w:lang w:val="zh-CN"/>
        </w:rPr>
        <w:t>七、承诺</w:t>
      </w:r>
      <w:bookmarkEnd w:id="12"/>
    </w:p>
    <w:p w14:paraId="6B8077CE">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1.发包人承诺按照法律规定履行项目审批手续、筹集工程建设资金并按照合同约定的期限和方式支付合同价款。</w:t>
      </w:r>
    </w:p>
    <w:p w14:paraId="76CAE1C1">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2.承包人承诺按照法律规定及合同约定组织完成工程施工，确保工程质量和安全，不进行转包及违法分包，并在缺陷责任期及保修期内承担相应的工程维修责任。</w:t>
      </w:r>
    </w:p>
    <w:p w14:paraId="18935ECB">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3.发包人和承包人通过招投标形式签订合同的，双方理解并承诺不再就同一工程另行签订与合同实质性内容相背离的协议。</w:t>
      </w:r>
    </w:p>
    <w:p w14:paraId="50F8186F">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bookmarkStart w:id="13" w:name="_Toc351203488"/>
      <w:r>
        <w:rPr>
          <w:rFonts w:hint="eastAsia" w:ascii="宋体" w:hAnsi="宋体" w:eastAsia="宋体" w:cs="宋体"/>
          <w:color w:val="auto"/>
          <w:sz w:val="24"/>
          <w:szCs w:val="24"/>
          <w:highlight w:val="none"/>
          <w:lang w:val="zh-CN"/>
        </w:rPr>
        <w:t>八、词语含义</w:t>
      </w:r>
      <w:bookmarkEnd w:id="13"/>
    </w:p>
    <w:p w14:paraId="560C73E4">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本协议书中词语含义与第二部分通用合同条款中赋予的含义相同。</w:t>
      </w:r>
    </w:p>
    <w:p w14:paraId="3BDA9EA7">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bookmarkStart w:id="14" w:name="_Toc351203489"/>
      <w:r>
        <w:rPr>
          <w:rFonts w:hint="eastAsia" w:ascii="宋体" w:hAnsi="宋体" w:eastAsia="宋体" w:cs="宋体"/>
          <w:color w:val="auto"/>
          <w:sz w:val="24"/>
          <w:szCs w:val="24"/>
          <w:highlight w:val="none"/>
          <w:lang w:val="zh-CN"/>
        </w:rPr>
        <w:t>九、签订时间</w:t>
      </w:r>
      <w:bookmarkEnd w:id="14"/>
    </w:p>
    <w:p w14:paraId="5BE36205">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本合同于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年</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月</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日签订。</w:t>
      </w:r>
    </w:p>
    <w:p w14:paraId="6387FF57">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bookmarkStart w:id="15" w:name="_Toc351203490"/>
      <w:r>
        <w:rPr>
          <w:rFonts w:hint="eastAsia" w:ascii="宋体" w:hAnsi="宋体" w:eastAsia="宋体" w:cs="宋体"/>
          <w:color w:val="auto"/>
          <w:sz w:val="24"/>
          <w:szCs w:val="24"/>
          <w:highlight w:val="none"/>
          <w:lang w:val="zh-CN"/>
        </w:rPr>
        <w:t>十、签订地点</w:t>
      </w:r>
      <w:bookmarkEnd w:id="15"/>
    </w:p>
    <w:p w14:paraId="5C5F3888">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本合同在</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签订。</w:t>
      </w:r>
    </w:p>
    <w:p w14:paraId="1DBD04D3">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bookmarkStart w:id="16" w:name="_Toc351203491"/>
      <w:r>
        <w:rPr>
          <w:rFonts w:hint="eastAsia" w:ascii="宋体" w:hAnsi="宋体" w:eastAsia="宋体" w:cs="宋体"/>
          <w:color w:val="auto"/>
          <w:sz w:val="24"/>
          <w:szCs w:val="24"/>
          <w:highlight w:val="none"/>
          <w:lang w:val="zh-CN"/>
        </w:rPr>
        <w:t>十一、补充协议</w:t>
      </w:r>
      <w:bookmarkEnd w:id="16"/>
    </w:p>
    <w:p w14:paraId="07939FBB">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合同未尽事宜，合同当事人另行签订补充协议，补充协议是合同的组成部分。</w:t>
      </w:r>
    </w:p>
    <w:p w14:paraId="6AE7BED6">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bookmarkStart w:id="17" w:name="_Toc351203492"/>
      <w:r>
        <w:rPr>
          <w:rFonts w:hint="eastAsia" w:ascii="宋体" w:hAnsi="宋体" w:eastAsia="宋体" w:cs="宋体"/>
          <w:color w:val="auto"/>
          <w:sz w:val="24"/>
          <w:szCs w:val="24"/>
          <w:highlight w:val="none"/>
          <w:lang w:val="zh-CN"/>
        </w:rPr>
        <w:t>十二、合同生效</w:t>
      </w:r>
      <w:bookmarkEnd w:id="17"/>
    </w:p>
    <w:p w14:paraId="1A19C5F4">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本合同自</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生效。</w:t>
      </w:r>
    </w:p>
    <w:p w14:paraId="6C892385">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bookmarkStart w:id="18" w:name="_Toc351203493"/>
      <w:r>
        <w:rPr>
          <w:rFonts w:hint="eastAsia" w:ascii="宋体" w:hAnsi="宋体" w:eastAsia="宋体" w:cs="宋体"/>
          <w:color w:val="auto"/>
          <w:sz w:val="24"/>
          <w:szCs w:val="24"/>
          <w:highlight w:val="none"/>
          <w:lang w:val="zh-CN"/>
        </w:rPr>
        <w:t>十三、合同份数</w:t>
      </w:r>
      <w:bookmarkEnd w:id="18"/>
    </w:p>
    <w:p w14:paraId="23B21B5C">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本合同一式</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份，均具有同等法律效力，发包人执</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份，承包人执</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份。</w:t>
      </w:r>
    </w:p>
    <w:p w14:paraId="7C80AE06">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p>
    <w:p w14:paraId="37553626">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p>
    <w:p w14:paraId="380C3134">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发包人：  (公章)             承包人：  (公章)</w:t>
      </w:r>
    </w:p>
    <w:p w14:paraId="13D4000B">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w:t>
      </w:r>
    </w:p>
    <w:p w14:paraId="6D6005ED">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法定代表人或其委托代理人：  法定代表人或其委托代理人：</w:t>
      </w:r>
    </w:p>
    <w:p w14:paraId="461F381A">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（签字）                    （签字）</w:t>
      </w:r>
    </w:p>
    <w:p w14:paraId="196AB4E2">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p>
    <w:p w14:paraId="111EF6D1">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组织机构代码：</w:t>
      </w:r>
      <w:r>
        <w:rPr>
          <w:rFonts w:hint="eastAsia" w:ascii="宋体" w:hAnsi="宋体" w:eastAsia="宋体" w:cs="宋体"/>
          <w:color w:val="auto"/>
          <w:sz w:val="24"/>
          <w:szCs w:val="24"/>
          <w:highlight w:val="none"/>
          <w:u w:val="single"/>
          <w:lang w:val="zh-CN"/>
        </w:rPr>
        <w:t xml:space="preserve">       </w:t>
      </w:r>
      <w:r>
        <w:rPr>
          <w:rFonts w:hint="eastAsia" w:ascii="宋体" w:hAnsi="宋体" w:eastAsia="宋体" w:cs="宋体"/>
          <w:color w:val="auto"/>
          <w:sz w:val="24"/>
          <w:szCs w:val="24"/>
          <w:highlight w:val="none"/>
          <w:lang w:val="zh-CN"/>
        </w:rPr>
        <w:t xml:space="preserve">  组织机构代码：</w:t>
      </w:r>
      <w:r>
        <w:rPr>
          <w:rFonts w:hint="eastAsia" w:ascii="宋体" w:hAnsi="宋体" w:eastAsia="宋体" w:cs="宋体"/>
          <w:color w:val="auto"/>
          <w:sz w:val="24"/>
          <w:szCs w:val="24"/>
          <w:highlight w:val="none"/>
          <w:u w:val="single"/>
          <w:lang w:val="zh-CN"/>
        </w:rPr>
        <w:t xml:space="preserve">           </w:t>
      </w:r>
    </w:p>
    <w:p w14:paraId="3E85B6DD">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地  址：</w:t>
      </w:r>
      <w:r>
        <w:rPr>
          <w:rFonts w:hint="eastAsia" w:ascii="宋体" w:hAnsi="宋体" w:eastAsia="宋体" w:cs="宋体"/>
          <w:color w:val="auto"/>
          <w:sz w:val="24"/>
          <w:szCs w:val="24"/>
          <w:highlight w:val="none"/>
          <w:u w:val="single"/>
          <w:lang w:val="zh-CN"/>
        </w:rPr>
        <w:t xml:space="preserve">     </w:t>
      </w:r>
      <w:r>
        <w:rPr>
          <w:rFonts w:hint="eastAsia" w:ascii="宋体" w:hAnsi="宋体" w:eastAsia="宋体" w:cs="宋体"/>
          <w:color w:val="auto"/>
          <w:sz w:val="24"/>
          <w:szCs w:val="24"/>
          <w:highlight w:val="none"/>
          <w:lang w:val="zh-CN"/>
        </w:rPr>
        <w:t xml:space="preserve">  地  址：</w:t>
      </w:r>
      <w:r>
        <w:rPr>
          <w:rFonts w:hint="eastAsia" w:ascii="宋体" w:hAnsi="宋体" w:eastAsia="宋体" w:cs="宋体"/>
          <w:color w:val="auto"/>
          <w:sz w:val="24"/>
          <w:szCs w:val="24"/>
          <w:highlight w:val="none"/>
          <w:u w:val="single"/>
          <w:lang w:val="zh-CN"/>
        </w:rPr>
        <w:t xml:space="preserve">        </w:t>
      </w:r>
    </w:p>
    <w:p w14:paraId="3E03FAE0">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邮政编码：</w:t>
      </w:r>
      <w:r>
        <w:rPr>
          <w:rFonts w:hint="eastAsia" w:ascii="宋体" w:hAnsi="宋体" w:eastAsia="宋体" w:cs="宋体"/>
          <w:color w:val="auto"/>
          <w:sz w:val="24"/>
          <w:szCs w:val="24"/>
          <w:highlight w:val="none"/>
          <w:u w:val="single"/>
          <w:lang w:val="zh-CN"/>
        </w:rPr>
        <w:t xml:space="preserve">      </w:t>
      </w:r>
      <w:r>
        <w:rPr>
          <w:rFonts w:hint="eastAsia" w:ascii="宋体" w:hAnsi="宋体" w:eastAsia="宋体" w:cs="宋体"/>
          <w:color w:val="auto"/>
          <w:sz w:val="24"/>
          <w:szCs w:val="24"/>
          <w:highlight w:val="none"/>
          <w:lang w:val="zh-CN"/>
        </w:rPr>
        <w:t xml:space="preserve">  邮政编码：</w:t>
      </w:r>
      <w:r>
        <w:rPr>
          <w:rFonts w:hint="eastAsia" w:ascii="宋体" w:hAnsi="宋体" w:eastAsia="宋体" w:cs="宋体"/>
          <w:color w:val="auto"/>
          <w:sz w:val="24"/>
          <w:szCs w:val="24"/>
          <w:highlight w:val="none"/>
          <w:u w:val="single"/>
          <w:lang w:val="zh-CN"/>
        </w:rPr>
        <w:t xml:space="preserve">   </w:t>
      </w:r>
    </w:p>
    <w:p w14:paraId="124E2581">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w:t>
      </w:r>
      <w:r>
        <w:rPr>
          <w:rFonts w:hint="eastAsia" w:ascii="宋体" w:hAnsi="宋体" w:eastAsia="宋体" w:cs="宋体"/>
          <w:color w:val="auto"/>
          <w:sz w:val="24"/>
          <w:szCs w:val="24"/>
          <w:highlight w:val="none"/>
          <w:u w:val="single"/>
          <w:lang w:val="zh-CN"/>
        </w:rPr>
        <w:t xml:space="preserve">           </w:t>
      </w:r>
      <w:r>
        <w:rPr>
          <w:rFonts w:hint="eastAsia" w:ascii="宋体" w:hAnsi="宋体" w:eastAsia="宋体" w:cs="宋体"/>
          <w:color w:val="auto"/>
          <w:sz w:val="24"/>
          <w:szCs w:val="24"/>
          <w:highlight w:val="none"/>
          <w:lang w:val="zh-CN"/>
        </w:rPr>
        <w:t xml:space="preserve">  法定代表人：</w:t>
      </w:r>
      <w:r>
        <w:rPr>
          <w:rFonts w:hint="eastAsia" w:ascii="宋体" w:hAnsi="宋体" w:eastAsia="宋体" w:cs="宋体"/>
          <w:color w:val="auto"/>
          <w:sz w:val="24"/>
          <w:szCs w:val="24"/>
          <w:highlight w:val="none"/>
          <w:u w:val="single"/>
          <w:lang w:val="zh-CN"/>
        </w:rPr>
        <w:t xml:space="preserve">             </w:t>
      </w:r>
    </w:p>
    <w:p w14:paraId="1338D43D">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委托代理人：</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委托代理人：</w:t>
      </w:r>
      <w:r>
        <w:rPr>
          <w:rFonts w:hint="eastAsia" w:ascii="宋体" w:hAnsi="宋体" w:eastAsia="宋体" w:cs="宋体"/>
          <w:color w:val="auto"/>
          <w:sz w:val="24"/>
          <w:szCs w:val="24"/>
          <w:highlight w:val="none"/>
          <w:u w:val="single"/>
          <w:lang w:val="zh-CN"/>
        </w:rPr>
        <w:t xml:space="preserve">             </w:t>
      </w:r>
    </w:p>
    <w:p w14:paraId="11576FA9">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电  话：</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电  话：</w:t>
      </w:r>
      <w:r>
        <w:rPr>
          <w:rFonts w:hint="eastAsia" w:ascii="宋体" w:hAnsi="宋体" w:eastAsia="宋体" w:cs="宋体"/>
          <w:color w:val="auto"/>
          <w:sz w:val="24"/>
          <w:szCs w:val="24"/>
          <w:highlight w:val="none"/>
          <w:u w:val="single"/>
          <w:lang w:val="zh-CN"/>
        </w:rPr>
        <w:t xml:space="preserve">     </w:t>
      </w:r>
    </w:p>
    <w:p w14:paraId="1D4BCAB5">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传  真：</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传  真：</w:t>
      </w:r>
      <w:r>
        <w:rPr>
          <w:rFonts w:hint="eastAsia" w:ascii="宋体" w:hAnsi="宋体" w:eastAsia="宋体" w:cs="宋体"/>
          <w:color w:val="auto"/>
          <w:sz w:val="24"/>
          <w:szCs w:val="24"/>
          <w:highlight w:val="none"/>
          <w:u w:val="single"/>
          <w:lang w:val="zh-CN"/>
        </w:rPr>
        <w:t xml:space="preserve">     </w:t>
      </w:r>
    </w:p>
    <w:p w14:paraId="63CADB68">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电子信箱：</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电子信箱：</w:t>
      </w:r>
      <w:r>
        <w:rPr>
          <w:rFonts w:hint="eastAsia" w:ascii="宋体" w:hAnsi="宋体" w:eastAsia="宋体" w:cs="宋体"/>
          <w:color w:val="auto"/>
          <w:sz w:val="24"/>
          <w:szCs w:val="24"/>
          <w:highlight w:val="none"/>
          <w:u w:val="single"/>
          <w:lang w:val="zh-CN"/>
        </w:rPr>
        <w:t xml:space="preserve">   </w:t>
      </w:r>
    </w:p>
    <w:p w14:paraId="3E17A246">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开户银行：</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开户银行：</w:t>
      </w:r>
      <w:r>
        <w:rPr>
          <w:rFonts w:hint="eastAsia" w:ascii="宋体" w:hAnsi="宋体" w:eastAsia="宋体" w:cs="宋体"/>
          <w:color w:val="auto"/>
          <w:sz w:val="24"/>
          <w:szCs w:val="24"/>
          <w:highlight w:val="none"/>
          <w:u w:val="single"/>
          <w:lang w:val="zh-CN"/>
        </w:rPr>
        <w:t xml:space="preserve">   </w:t>
      </w:r>
    </w:p>
    <w:p w14:paraId="6CF64398">
      <w:pPr>
        <w:pageBreakBefore w:val="0"/>
        <w:kinsoku/>
        <w:wordWrap/>
        <w:overflowPunct/>
        <w:topLinePunct w:val="0"/>
        <w:autoSpaceDE/>
        <w:autoSpaceDN/>
        <w:bidi w:val="0"/>
        <w:adjustRightInd w:val="0"/>
        <w:snapToGrid w:val="0"/>
        <w:spacing w:line="312" w:lineRule="auto"/>
        <w:ind w:left="0" w:leftChars="0" w:firstLine="480" w:firstLineChars="200"/>
        <w:jc w:val="left"/>
        <w:rPr>
          <w:rFonts w:hint="eastAsia" w:ascii="宋体" w:hAnsi="宋体" w:eastAsia="宋体" w:cs="宋体"/>
          <w:color w:val="auto"/>
          <w:sz w:val="20"/>
          <w:szCs w:val="20"/>
          <w:highlight w:val="none"/>
        </w:rPr>
      </w:pPr>
      <w:r>
        <w:rPr>
          <w:rFonts w:hint="eastAsia" w:ascii="宋体" w:hAnsi="宋体" w:eastAsia="宋体" w:cs="宋体"/>
          <w:color w:val="auto"/>
          <w:sz w:val="24"/>
          <w:szCs w:val="24"/>
          <w:highlight w:val="none"/>
          <w:lang w:val="zh-CN"/>
        </w:rPr>
        <w:t>账  号：</w:t>
      </w:r>
      <w:r>
        <w:rPr>
          <w:rFonts w:hint="eastAsia" w:ascii="宋体" w:hAnsi="宋体" w:eastAsia="宋体" w:cs="宋体"/>
          <w:color w:val="auto"/>
          <w:sz w:val="24"/>
          <w:szCs w:val="24"/>
          <w:highlight w:val="none"/>
          <w:u w:val="single"/>
          <w:lang w:val="zh-CN"/>
        </w:rPr>
        <w:t xml:space="preserve">       </w:t>
      </w:r>
      <w:r>
        <w:rPr>
          <w:rFonts w:hint="eastAsia" w:ascii="宋体" w:hAnsi="宋体" w:eastAsia="宋体" w:cs="宋体"/>
          <w:color w:val="auto"/>
          <w:sz w:val="24"/>
          <w:szCs w:val="24"/>
          <w:highlight w:val="none"/>
          <w:lang w:val="zh-CN"/>
        </w:rPr>
        <w:t xml:space="preserve">   账  号：</w:t>
      </w:r>
      <w:r>
        <w:rPr>
          <w:rFonts w:hint="eastAsia" w:ascii="宋体" w:hAnsi="宋体" w:eastAsia="宋体" w:cs="宋体"/>
          <w:color w:val="auto"/>
          <w:sz w:val="24"/>
          <w:szCs w:val="24"/>
          <w:highlight w:val="none"/>
          <w:u w:val="single"/>
          <w:lang w:val="zh-CN"/>
        </w:rPr>
        <w:t xml:space="preserve">   </w:t>
      </w:r>
    </w:p>
    <w:p w14:paraId="7E824414">
      <w:pPr>
        <w:pageBreakBefore w:val="0"/>
        <w:kinsoku/>
        <w:wordWrap/>
        <w:overflowPunct/>
        <w:topLinePunct w:val="0"/>
        <w:autoSpaceDE/>
        <w:autoSpaceDN/>
        <w:bidi w:val="0"/>
        <w:adjustRightInd w:val="0"/>
        <w:snapToGrid w:val="0"/>
        <w:spacing w:line="312" w:lineRule="auto"/>
        <w:ind w:left="0" w:leftChars="0" w:firstLine="200"/>
        <w:jc w:val="center"/>
        <w:outlineLvl w:val="1"/>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r>
        <w:rPr>
          <w:rFonts w:hint="eastAsia" w:ascii="宋体" w:hAnsi="宋体" w:eastAsia="宋体" w:cs="宋体"/>
          <w:b/>
          <w:bCs/>
          <w:color w:val="auto"/>
          <w:sz w:val="36"/>
          <w:szCs w:val="36"/>
          <w:highlight w:val="none"/>
        </w:rPr>
        <w:t>第二部分  通用条款</w:t>
      </w:r>
    </w:p>
    <w:p w14:paraId="304822E4">
      <w:pPr>
        <w:pageBreakBefore w:val="0"/>
        <w:kinsoku/>
        <w:wordWrap/>
        <w:overflowPunct/>
        <w:topLinePunct w:val="0"/>
        <w:autoSpaceDE/>
        <w:autoSpaceDN/>
        <w:bidi w:val="0"/>
        <w:adjustRightInd w:val="0"/>
        <w:snapToGrid w:val="0"/>
        <w:spacing w:line="312" w:lineRule="auto"/>
        <w:ind w:left="0" w:leftChars="0" w:firstLine="200"/>
        <w:jc w:val="center"/>
        <w:rPr>
          <w:rFonts w:hint="eastAsia" w:ascii="宋体" w:hAnsi="宋体" w:eastAsia="宋体" w:cs="宋体"/>
          <w:color w:val="auto"/>
          <w:sz w:val="36"/>
          <w:szCs w:val="36"/>
          <w:highlight w:val="none"/>
        </w:rPr>
      </w:pPr>
    </w:p>
    <w:p w14:paraId="0F4236E9">
      <w:pPr>
        <w:pageBreakBefore w:val="0"/>
        <w:kinsoku/>
        <w:wordWrap/>
        <w:overflowPunct/>
        <w:topLinePunct w:val="0"/>
        <w:autoSpaceDE/>
        <w:autoSpaceDN/>
        <w:bidi w:val="0"/>
        <w:adjustRightInd w:val="0"/>
        <w:snapToGrid w:val="0"/>
        <w:spacing w:line="312" w:lineRule="auto"/>
        <w:ind w:left="0" w:leftChars="0"/>
        <w:jc w:val="center"/>
        <w:rPr>
          <w:rFonts w:hint="eastAsia" w:ascii="宋体" w:hAnsi="宋体" w:eastAsia="宋体" w:cs="宋体"/>
          <w:b/>
          <w:bCs/>
          <w:color w:val="auto"/>
          <w:highlight w:val="none"/>
        </w:rPr>
      </w:pPr>
      <w:r>
        <w:rPr>
          <w:rFonts w:hint="eastAsia" w:ascii="宋体" w:hAnsi="宋体" w:eastAsia="宋体" w:cs="宋体"/>
          <w:b/>
          <w:bCs/>
          <w:color w:val="auto"/>
          <w:sz w:val="24"/>
          <w:highlight w:val="none"/>
        </w:rPr>
        <w:t>参见陕建发【2007】110 号文印发的《陕西省建设工程施工合同（示范文本）》（略）</w:t>
      </w:r>
    </w:p>
    <w:p w14:paraId="22B97440">
      <w:pPr>
        <w:pageBreakBefore w:val="0"/>
        <w:numPr>
          <w:ilvl w:val="0"/>
          <w:numId w:val="0"/>
        </w:numPr>
        <w:kinsoku/>
        <w:wordWrap/>
        <w:overflowPunct/>
        <w:topLinePunct w:val="0"/>
        <w:autoSpaceDE/>
        <w:autoSpaceDN/>
        <w:bidi w:val="0"/>
        <w:adjustRightInd w:val="0"/>
        <w:snapToGrid w:val="0"/>
        <w:spacing w:line="312" w:lineRule="auto"/>
        <w:jc w:val="center"/>
        <w:outlineLvl w:val="1"/>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r>
        <w:rPr>
          <w:rFonts w:hint="eastAsia" w:ascii="宋体" w:hAnsi="宋体" w:eastAsia="宋体" w:cs="宋体"/>
          <w:b/>
          <w:bCs/>
          <w:color w:val="auto"/>
          <w:sz w:val="36"/>
          <w:szCs w:val="36"/>
          <w:highlight w:val="none"/>
          <w:lang w:val="en-US" w:eastAsia="zh-CN"/>
        </w:rPr>
        <w:t xml:space="preserve">第三部分  </w:t>
      </w:r>
      <w:r>
        <w:rPr>
          <w:rFonts w:hint="eastAsia" w:ascii="宋体" w:hAnsi="宋体" w:eastAsia="宋体" w:cs="宋体"/>
          <w:b/>
          <w:bCs/>
          <w:color w:val="auto"/>
          <w:sz w:val="36"/>
          <w:szCs w:val="36"/>
          <w:highlight w:val="none"/>
        </w:rPr>
        <w:t>专用条款</w:t>
      </w:r>
    </w:p>
    <w:p w14:paraId="47E810C8">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bookmarkStart w:id="19" w:name="_Toc351203633"/>
      <w:r>
        <w:rPr>
          <w:rFonts w:hint="eastAsia" w:ascii="宋体" w:hAnsi="宋体" w:eastAsia="宋体" w:cs="宋体"/>
          <w:color w:val="auto"/>
          <w:sz w:val="24"/>
          <w:szCs w:val="24"/>
          <w:highlight w:val="none"/>
          <w:lang w:val="zh-CN"/>
        </w:rPr>
        <w:t>1</w:t>
      </w:r>
      <w:bookmarkStart w:id="20" w:name="_Toc296944495"/>
      <w:bookmarkStart w:id="21" w:name="_Toc292559866"/>
      <w:bookmarkStart w:id="22" w:name="_Toc292559361"/>
      <w:bookmarkStart w:id="23" w:name="_Toc297048342"/>
      <w:bookmarkStart w:id="24" w:name="_Toc296347155"/>
      <w:bookmarkStart w:id="25" w:name="_Toc296890984"/>
      <w:bookmarkStart w:id="26" w:name="_Toc296503156"/>
      <w:bookmarkStart w:id="27" w:name="_Toc296891196"/>
      <w:bookmarkStart w:id="28" w:name="_Toc296346657"/>
      <w:bookmarkStart w:id="29" w:name="_Toc297120456"/>
      <w:r>
        <w:rPr>
          <w:rFonts w:hint="eastAsia" w:ascii="宋体" w:hAnsi="宋体" w:eastAsia="宋体" w:cs="宋体"/>
          <w:color w:val="auto"/>
          <w:sz w:val="24"/>
          <w:szCs w:val="24"/>
          <w:highlight w:val="none"/>
          <w:lang w:val="zh-CN"/>
        </w:rPr>
        <w:t>. 一般约定</w:t>
      </w:r>
      <w:bookmarkEnd w:id="19"/>
    </w:p>
    <w:bookmarkEnd w:id="20"/>
    <w:bookmarkEnd w:id="21"/>
    <w:bookmarkEnd w:id="22"/>
    <w:bookmarkEnd w:id="23"/>
    <w:bookmarkEnd w:id="24"/>
    <w:bookmarkEnd w:id="25"/>
    <w:bookmarkEnd w:id="26"/>
    <w:bookmarkEnd w:id="27"/>
    <w:bookmarkEnd w:id="28"/>
    <w:bookmarkEnd w:id="29"/>
    <w:p w14:paraId="528C0E36">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词语定义</w:t>
      </w:r>
    </w:p>
    <w:p w14:paraId="743B54DA">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1.1.1合同</w:t>
      </w:r>
    </w:p>
    <w:p w14:paraId="32831E9C">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1.1.1.10其他合同文件包括：</w:t>
      </w:r>
      <w:r>
        <w:rPr>
          <w:rFonts w:hint="eastAsia" w:ascii="宋体" w:hAnsi="宋体" w:eastAsia="宋体" w:cs="宋体"/>
          <w:color w:val="auto"/>
          <w:kern w:val="0"/>
          <w:sz w:val="24"/>
          <w:szCs w:val="24"/>
          <w:highlight w:val="none"/>
          <w:u w:val="single"/>
          <w:lang w:eastAsia="zh-CN"/>
        </w:rPr>
        <w:t>成交通知书</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eastAsia="zh-CN"/>
        </w:rPr>
        <w:t>磋商文件</w:t>
      </w:r>
      <w:r>
        <w:rPr>
          <w:rFonts w:hint="eastAsia" w:ascii="宋体" w:hAnsi="宋体" w:eastAsia="宋体" w:cs="宋体"/>
          <w:color w:val="auto"/>
          <w:kern w:val="0"/>
          <w:sz w:val="24"/>
          <w:szCs w:val="24"/>
          <w:highlight w:val="none"/>
          <w:u w:val="single"/>
        </w:rPr>
        <w:t>及补遗文件（答疑文件）、标准规范及其有关文件、图纸</w:t>
      </w:r>
      <w:r>
        <w:rPr>
          <w:rFonts w:hint="eastAsia" w:ascii="宋体" w:hAnsi="宋体" w:eastAsia="宋体" w:cs="宋体"/>
          <w:color w:val="auto"/>
          <w:kern w:val="0"/>
          <w:sz w:val="24"/>
          <w:szCs w:val="24"/>
          <w:highlight w:val="none"/>
          <w:u w:val="single"/>
          <w:lang w:eastAsia="zh-CN"/>
        </w:rPr>
        <w:t>（本项目施工图纸在合同签订后由采购人提供给中标单位）</w:t>
      </w:r>
      <w:r>
        <w:rPr>
          <w:rFonts w:hint="eastAsia" w:ascii="宋体" w:hAnsi="宋体" w:eastAsia="宋体" w:cs="宋体"/>
          <w:color w:val="auto"/>
          <w:kern w:val="0"/>
          <w:sz w:val="24"/>
          <w:szCs w:val="24"/>
          <w:highlight w:val="none"/>
          <w:u w:val="single"/>
        </w:rPr>
        <w:t>、工程量清单、</w:t>
      </w:r>
      <w:r>
        <w:rPr>
          <w:rFonts w:hint="eastAsia" w:ascii="宋体" w:hAnsi="宋体" w:eastAsia="宋体" w:cs="宋体"/>
          <w:color w:val="auto"/>
          <w:kern w:val="0"/>
          <w:sz w:val="24"/>
          <w:szCs w:val="24"/>
          <w:highlight w:val="none"/>
          <w:u w:val="single"/>
          <w:lang w:eastAsia="zh-CN"/>
        </w:rPr>
        <w:t>磋商响应文件</w:t>
      </w:r>
      <w:r>
        <w:rPr>
          <w:rFonts w:hint="eastAsia" w:ascii="宋体" w:hAnsi="宋体" w:eastAsia="宋体" w:cs="宋体"/>
          <w:color w:val="auto"/>
          <w:kern w:val="0"/>
          <w:sz w:val="24"/>
          <w:szCs w:val="24"/>
          <w:highlight w:val="none"/>
          <w:u w:val="single"/>
        </w:rPr>
        <w:t>及其附件、工程报价单或预算书</w:t>
      </w:r>
      <w:r>
        <w:rPr>
          <w:rFonts w:hint="eastAsia" w:ascii="宋体" w:hAnsi="宋体" w:eastAsia="宋体" w:cs="宋体"/>
          <w:color w:val="auto"/>
          <w:sz w:val="24"/>
          <w:szCs w:val="24"/>
          <w:highlight w:val="none"/>
        </w:rPr>
        <w:t>。</w:t>
      </w:r>
    </w:p>
    <w:p w14:paraId="477B3A30">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合同当事人及其他相关方</w:t>
      </w:r>
    </w:p>
    <w:p w14:paraId="13A8292B">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1.1.2.4监理人：</w:t>
      </w:r>
    </w:p>
    <w:p w14:paraId="2B5C778F">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24620B8D">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3ED6E796">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315BAFF1">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7419DA23">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7CB7109F">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1.1.2.5 设计人：</w:t>
      </w:r>
    </w:p>
    <w:p w14:paraId="7D246744">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78D47D0E">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资质类别和等级：</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2D8DEC0F">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49E3F9A2">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63A5B7F2">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54B9D381">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工程和设备</w:t>
      </w:r>
    </w:p>
    <w:p w14:paraId="7291A1A5">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1.1.3.7 作为施工现场组成部分的其他场所包括：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0B525554">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1.1.3.9 永久占地包括：</w:t>
      </w:r>
      <w:r>
        <w:rPr>
          <w:rFonts w:hint="eastAsia" w:ascii="宋体" w:hAnsi="宋体" w:eastAsia="宋体" w:cs="宋体"/>
          <w:color w:val="auto"/>
          <w:sz w:val="24"/>
          <w:szCs w:val="24"/>
          <w:highlight w:val="none"/>
          <w:u w:val="single"/>
        </w:rPr>
        <w:t xml:space="preserve">                        </w:t>
      </w:r>
      <w:r>
        <w:rPr>
          <w:rFonts w:hint="eastAsia" w:ascii="宋体" w:hAnsi="宋体" w:eastAsia="宋体" w:cs="宋体"/>
          <w:color w:val="auto"/>
          <w:kern w:val="0"/>
          <w:sz w:val="24"/>
          <w:szCs w:val="24"/>
          <w:highlight w:val="none"/>
        </w:rPr>
        <w:t>。</w:t>
      </w:r>
    </w:p>
    <w:p w14:paraId="2A5F3073">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1.1.3.10 临时占地包括：</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kern w:val="0"/>
          <w:sz w:val="24"/>
          <w:szCs w:val="24"/>
          <w:highlight w:val="none"/>
        </w:rPr>
        <w:t>。</w:t>
      </w:r>
    </w:p>
    <w:p w14:paraId="317901D4">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1.3法律 </w:t>
      </w:r>
    </w:p>
    <w:p w14:paraId="55C7D660">
      <w:pPr>
        <w:keepLines w:val="0"/>
        <w:pageBreakBefore w:val="0"/>
        <w:shd w:val="clear" w:color="auto" w:fill="auto"/>
        <w:kinsoku/>
        <w:wordWrap/>
        <w:overflowPunct/>
        <w:topLinePunct w:val="0"/>
        <w:autoSpaceDE w:val="0"/>
        <w:autoSpaceDN w:val="0"/>
        <w:bidi w:val="0"/>
        <w:adjustRightInd w:val="0"/>
        <w:snapToGrid/>
        <w:spacing w:line="360" w:lineRule="auto"/>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适用于合同的其他规范性文件：</w:t>
      </w:r>
      <w:r>
        <w:rPr>
          <w:rFonts w:hint="eastAsia" w:ascii="宋体" w:hAnsi="宋体" w:eastAsia="宋体" w:cs="宋体"/>
          <w:color w:val="auto"/>
          <w:sz w:val="24"/>
          <w:szCs w:val="24"/>
          <w:highlight w:val="none"/>
          <w:u w:val="single"/>
        </w:rPr>
        <w:t>《中华人民共和国</w:t>
      </w:r>
      <w:r>
        <w:rPr>
          <w:rFonts w:hint="eastAsia" w:ascii="宋体" w:hAnsi="宋体" w:eastAsia="宋体" w:cs="宋体"/>
          <w:color w:val="auto"/>
          <w:sz w:val="24"/>
          <w:szCs w:val="24"/>
          <w:highlight w:val="none"/>
          <w:u w:val="single"/>
          <w:lang w:val="en-US" w:eastAsia="zh-CN"/>
        </w:rPr>
        <w:t>民法典</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zh-CN"/>
        </w:rPr>
        <w:t>《中华人民共和国招标投标法》、</w:t>
      </w:r>
      <w:r>
        <w:rPr>
          <w:rFonts w:hint="eastAsia" w:ascii="宋体" w:hAnsi="宋体" w:eastAsia="宋体" w:cs="宋体"/>
          <w:color w:val="auto"/>
          <w:sz w:val="24"/>
          <w:szCs w:val="24"/>
          <w:highlight w:val="none"/>
          <w:u w:val="single"/>
        </w:rPr>
        <w:t>《中华人民共和国建筑法》、《建设工程质量管理条例》、《建设工程安全生产管理条例》、《工程建设标准强制性条文》、《房屋建筑工程质量保修办法》、《陕西省建筑市场管理条例》、《陕西省建设工程工程量清单计价规则》（2009年）及其配套文件、陕西省建设行政主管部门有关基本建设的相关规定等</w:t>
      </w:r>
      <w:r>
        <w:rPr>
          <w:rFonts w:hint="eastAsia" w:ascii="宋体" w:hAnsi="宋体" w:eastAsia="宋体" w:cs="宋体"/>
          <w:color w:val="auto"/>
          <w:sz w:val="24"/>
          <w:szCs w:val="24"/>
          <w:highlight w:val="none"/>
        </w:rPr>
        <w:t>。</w:t>
      </w:r>
    </w:p>
    <w:p w14:paraId="436A9BE6">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标准和规范</w:t>
      </w:r>
    </w:p>
    <w:p w14:paraId="2027FCA6">
      <w:pPr>
        <w:keepLines w:val="0"/>
        <w:pageBreakBefore w:val="0"/>
        <w:shd w:val="clear" w:color="auto" w:fill="auto"/>
        <w:kinsoku/>
        <w:wordWrap/>
        <w:overflowPunct/>
        <w:topLinePunct w:val="0"/>
        <w:bidi w:val="0"/>
        <w:snapToGrid/>
        <w:spacing w:line="360" w:lineRule="auto"/>
        <w:ind w:left="14" w:leftChars="7" w:firstLine="578" w:firstLineChars="241"/>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1.4.1适用于工程的标准规范包括：</w:t>
      </w:r>
      <w:r>
        <w:rPr>
          <w:rFonts w:hint="eastAsia" w:ascii="宋体" w:hAnsi="宋体" w:eastAsia="宋体" w:cs="宋体"/>
          <w:color w:val="auto"/>
          <w:kern w:val="0"/>
          <w:sz w:val="24"/>
          <w:szCs w:val="24"/>
          <w:highlight w:val="none"/>
          <w:u w:val="single"/>
        </w:rPr>
        <w:t>执行国家建筑工程施工及验收规范标准以及材料、设备所涉及、设计图要求的现行国家、省、市或行业的工程建设标准、规范和标准图集的要求。</w:t>
      </w:r>
    </w:p>
    <w:p w14:paraId="643DA80E">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1.4.2 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F2762EC">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发包人提供国外标准、规范的份数：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836ADE6">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发包人提供国外标准、规范的名称：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A8BB4E1">
      <w:pPr>
        <w:keepLines w:val="0"/>
        <w:pageBreakBefore w:val="0"/>
        <w:shd w:val="clear" w:color="auto" w:fill="auto"/>
        <w:kinsoku/>
        <w:wordWrap/>
        <w:overflowPunct/>
        <w:topLinePunct w:val="0"/>
        <w:bidi w:val="0"/>
        <w:snapToGrid/>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1.4.3发包人对工程的技术标准和功能要求的特殊要求：</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115B0704">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 合同文件的优先顺序</w:t>
      </w:r>
    </w:p>
    <w:p w14:paraId="0C83D384">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合同文件组成及优先顺序为：</w:t>
      </w:r>
      <w:r>
        <w:rPr>
          <w:rFonts w:hint="eastAsia" w:ascii="宋体" w:hAnsi="宋体" w:eastAsia="宋体" w:cs="宋体"/>
          <w:color w:val="auto"/>
          <w:sz w:val="24"/>
          <w:szCs w:val="24"/>
          <w:highlight w:val="none"/>
          <w:u w:val="single"/>
        </w:rPr>
        <w:t>①合同协议书、②本合同专用条款、③本合同补充条款、④本合同通用条款、⑤</w:t>
      </w:r>
      <w:r>
        <w:rPr>
          <w:rFonts w:hint="eastAsia" w:ascii="宋体" w:hAnsi="宋体" w:eastAsia="宋体" w:cs="宋体"/>
          <w:color w:val="auto"/>
          <w:sz w:val="24"/>
          <w:szCs w:val="24"/>
          <w:highlight w:val="none"/>
          <w:u w:val="single"/>
          <w:lang w:eastAsia="zh-CN"/>
        </w:rPr>
        <w:t>成交通知书</w:t>
      </w:r>
      <w:r>
        <w:rPr>
          <w:rFonts w:hint="eastAsia" w:ascii="宋体" w:hAnsi="宋体" w:eastAsia="宋体" w:cs="宋体"/>
          <w:color w:val="auto"/>
          <w:sz w:val="24"/>
          <w:szCs w:val="24"/>
          <w:highlight w:val="none"/>
          <w:u w:val="single"/>
        </w:rPr>
        <w:t>、⑥</w:t>
      </w:r>
      <w:r>
        <w:rPr>
          <w:rFonts w:hint="eastAsia" w:ascii="宋体" w:hAnsi="宋体" w:eastAsia="宋体" w:cs="宋体"/>
          <w:color w:val="auto"/>
          <w:sz w:val="24"/>
          <w:szCs w:val="24"/>
          <w:highlight w:val="none"/>
          <w:u w:val="single"/>
          <w:lang w:eastAsia="zh-CN"/>
        </w:rPr>
        <w:t>磋商文件</w:t>
      </w:r>
      <w:r>
        <w:rPr>
          <w:rFonts w:hint="eastAsia" w:ascii="宋体" w:hAnsi="宋体" w:eastAsia="宋体" w:cs="宋体"/>
          <w:color w:val="auto"/>
          <w:sz w:val="24"/>
          <w:szCs w:val="24"/>
          <w:highlight w:val="none"/>
          <w:u w:val="single"/>
        </w:rPr>
        <w:t>及补遗文件（答疑文件）、⑦标准规范及其有关文件、⑧图纸、⑨工程量清单、投标书及其附件、⑩工程报价单或预算书</w:t>
      </w:r>
      <w:r>
        <w:rPr>
          <w:rFonts w:hint="eastAsia" w:ascii="宋体" w:hAnsi="宋体" w:eastAsia="宋体" w:cs="宋体"/>
          <w:color w:val="auto"/>
          <w:sz w:val="24"/>
          <w:szCs w:val="24"/>
          <w:highlight w:val="none"/>
        </w:rPr>
        <w:t>。</w:t>
      </w:r>
    </w:p>
    <w:p w14:paraId="64782AB7">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 图纸和承包人文件</w:t>
      </w:r>
      <w:r>
        <w:rPr>
          <w:rFonts w:hint="eastAsia" w:ascii="宋体" w:hAnsi="宋体" w:eastAsia="宋体" w:cs="宋体"/>
          <w:color w:val="auto"/>
          <w:sz w:val="24"/>
          <w:szCs w:val="24"/>
          <w:highlight w:val="none"/>
        </w:rPr>
        <w:tab/>
      </w:r>
    </w:p>
    <w:p w14:paraId="04060694">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1.6.1 图纸的提供</w:t>
      </w:r>
      <w:r>
        <w:rPr>
          <w:rFonts w:hint="eastAsia" w:ascii="宋体" w:hAnsi="宋体" w:eastAsia="宋体" w:cs="宋体"/>
          <w:color w:val="auto"/>
          <w:sz w:val="24"/>
          <w:szCs w:val="24"/>
          <w:highlight w:val="none"/>
          <w:lang w:eastAsia="zh-CN"/>
        </w:rPr>
        <w:t>（本项目施工图纸在合同签订后由采购人提供给中标单位）</w:t>
      </w:r>
    </w:p>
    <w:p w14:paraId="266E9D50">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发包人向承包人提供图纸的期限：</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35EB59A4">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发包人向承包人提供图纸的数量：</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54784023">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发包人向承包人提供图纸的内容：</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244398F4">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1.6.4 承包人文件</w:t>
      </w:r>
    </w:p>
    <w:p w14:paraId="0DDB58E7">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需要由承包人提供的文件，包括：</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247C367">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承包人提供的文件的期限为：</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4F8F3017">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承包人提供的文件的数量为：</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6A60EE27">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承包人提供的文件的形式为：</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35F2390">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发包人审批承包人文件的期限：</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5C0243E3">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1.6.5 现场图纸准备</w:t>
      </w:r>
    </w:p>
    <w:p w14:paraId="1127A085">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关于现场图纸准备的约定：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14:paraId="5862DBB8">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联络</w:t>
      </w:r>
    </w:p>
    <w:p w14:paraId="3A686348">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1.7.1发包人和承包人应当在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kern w:val="0"/>
          <w:sz w:val="24"/>
          <w:szCs w:val="24"/>
          <w:highlight w:val="none"/>
        </w:rPr>
        <w:t>天内将与合同有关的通知、批准、证明、证书、指示、指令、要求、请求、同意、意见、确定和决定等书面函件送达对方当事人。</w:t>
      </w:r>
    </w:p>
    <w:p w14:paraId="7716E1AC">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1.7.2 发包人接收文件的地点：</w:t>
      </w:r>
      <w:r>
        <w:rPr>
          <w:rFonts w:hint="eastAsia" w:ascii="宋体" w:hAnsi="宋体" w:eastAsia="宋体" w:cs="宋体"/>
          <w:color w:val="auto"/>
          <w:sz w:val="24"/>
          <w:szCs w:val="24"/>
          <w:highlight w:val="none"/>
          <w:u w:val="single"/>
        </w:rPr>
        <w:t>      </w:t>
      </w:r>
      <w:r>
        <w:rPr>
          <w:rFonts w:hint="eastAsia" w:ascii="宋体" w:hAnsi="宋体" w:eastAsia="宋体" w:cs="宋体"/>
          <w:color w:val="auto"/>
          <w:kern w:val="0"/>
          <w:sz w:val="24"/>
          <w:szCs w:val="24"/>
          <w:highlight w:val="none"/>
        </w:rPr>
        <w:t>；</w:t>
      </w:r>
    </w:p>
    <w:p w14:paraId="486CD520">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发包人指定的接收人为：</w:t>
      </w:r>
      <w:r>
        <w:rPr>
          <w:rFonts w:hint="eastAsia" w:ascii="宋体" w:hAnsi="宋体" w:eastAsia="宋体" w:cs="宋体"/>
          <w:color w:val="auto"/>
          <w:sz w:val="24"/>
          <w:szCs w:val="24"/>
          <w:highlight w:val="none"/>
          <w:u w:val="single"/>
        </w:rPr>
        <w:t>               </w:t>
      </w:r>
      <w:r>
        <w:rPr>
          <w:rFonts w:hint="eastAsia" w:ascii="宋体" w:hAnsi="宋体" w:eastAsia="宋体" w:cs="宋体"/>
          <w:color w:val="auto"/>
          <w:kern w:val="0"/>
          <w:sz w:val="24"/>
          <w:szCs w:val="24"/>
          <w:highlight w:val="none"/>
        </w:rPr>
        <w:t>。</w:t>
      </w:r>
    </w:p>
    <w:p w14:paraId="324BAD03">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承包人接收文件的地点：</w:t>
      </w:r>
      <w:r>
        <w:rPr>
          <w:rFonts w:hint="eastAsia" w:ascii="宋体" w:hAnsi="宋体" w:eastAsia="宋体" w:cs="宋体"/>
          <w:color w:val="auto"/>
          <w:sz w:val="24"/>
          <w:szCs w:val="24"/>
          <w:highlight w:val="none"/>
          <w:u w:val="single"/>
        </w:rPr>
        <w:t>             </w:t>
      </w:r>
      <w:r>
        <w:rPr>
          <w:rFonts w:hint="eastAsia" w:ascii="宋体" w:hAnsi="宋体" w:eastAsia="宋体" w:cs="宋体"/>
          <w:color w:val="auto"/>
          <w:kern w:val="0"/>
          <w:sz w:val="24"/>
          <w:szCs w:val="24"/>
          <w:highlight w:val="none"/>
        </w:rPr>
        <w:t>；</w:t>
      </w:r>
    </w:p>
    <w:p w14:paraId="4E36DD49">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承包人指定的接收人为：</w:t>
      </w:r>
      <w:r>
        <w:rPr>
          <w:rFonts w:hint="eastAsia" w:ascii="宋体" w:hAnsi="宋体" w:eastAsia="宋体" w:cs="宋体"/>
          <w:color w:val="auto"/>
          <w:sz w:val="24"/>
          <w:szCs w:val="24"/>
          <w:highlight w:val="none"/>
          <w:u w:val="single"/>
        </w:rPr>
        <w:t>             </w:t>
      </w:r>
      <w:r>
        <w:rPr>
          <w:rFonts w:hint="eastAsia" w:ascii="宋体" w:hAnsi="宋体" w:eastAsia="宋体" w:cs="宋体"/>
          <w:color w:val="auto"/>
          <w:kern w:val="0"/>
          <w:sz w:val="24"/>
          <w:szCs w:val="24"/>
          <w:highlight w:val="none"/>
        </w:rPr>
        <w:t>。</w:t>
      </w:r>
    </w:p>
    <w:p w14:paraId="48458B5A">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监理人接收文件的地点：</w:t>
      </w:r>
      <w:r>
        <w:rPr>
          <w:rFonts w:hint="eastAsia" w:ascii="宋体" w:hAnsi="宋体" w:eastAsia="宋体" w:cs="宋体"/>
          <w:color w:val="auto"/>
          <w:sz w:val="24"/>
          <w:szCs w:val="24"/>
          <w:highlight w:val="none"/>
          <w:u w:val="single"/>
        </w:rPr>
        <w:t>            </w:t>
      </w:r>
      <w:r>
        <w:rPr>
          <w:rFonts w:hint="eastAsia" w:ascii="宋体" w:hAnsi="宋体" w:eastAsia="宋体" w:cs="宋体"/>
          <w:color w:val="auto"/>
          <w:kern w:val="0"/>
          <w:sz w:val="24"/>
          <w:szCs w:val="24"/>
          <w:highlight w:val="none"/>
        </w:rPr>
        <w:t>；</w:t>
      </w:r>
    </w:p>
    <w:p w14:paraId="6718947E">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监理人指定的接收人为：</w:t>
      </w:r>
      <w:r>
        <w:rPr>
          <w:rFonts w:hint="eastAsia" w:ascii="宋体" w:hAnsi="宋体" w:eastAsia="宋体" w:cs="宋体"/>
          <w:color w:val="auto"/>
          <w:sz w:val="24"/>
          <w:szCs w:val="24"/>
          <w:highlight w:val="none"/>
          <w:u w:val="single"/>
        </w:rPr>
        <w:t>            </w:t>
      </w:r>
      <w:r>
        <w:rPr>
          <w:rFonts w:hint="eastAsia" w:ascii="宋体" w:hAnsi="宋体" w:eastAsia="宋体" w:cs="宋体"/>
          <w:color w:val="auto"/>
          <w:kern w:val="0"/>
          <w:sz w:val="24"/>
          <w:szCs w:val="24"/>
          <w:highlight w:val="none"/>
        </w:rPr>
        <w:t>。</w:t>
      </w:r>
    </w:p>
    <w:p w14:paraId="11242512">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 交通运输</w:t>
      </w:r>
    </w:p>
    <w:p w14:paraId="06A1DD92">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30" w:name="_Toc300934943"/>
      <w:bookmarkStart w:id="31" w:name="_Toc303539100"/>
      <w:bookmarkStart w:id="32" w:name="_Toc318581155"/>
      <w:bookmarkStart w:id="33" w:name="_Toc304295521"/>
      <w:bookmarkStart w:id="34" w:name="_Toc312677986"/>
      <w:r>
        <w:rPr>
          <w:rFonts w:hint="eastAsia" w:ascii="宋体" w:hAnsi="宋体" w:eastAsia="宋体" w:cs="宋体"/>
          <w:color w:val="auto"/>
          <w:sz w:val="24"/>
          <w:szCs w:val="24"/>
          <w:highlight w:val="none"/>
        </w:rPr>
        <w:t>.10.1 出入现场的权利</w:t>
      </w:r>
    </w:p>
    <w:p w14:paraId="54EC6E4D">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关于出入现场的权利的约定：</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bookmarkEnd w:id="30"/>
    <w:bookmarkEnd w:id="31"/>
    <w:bookmarkEnd w:id="32"/>
    <w:bookmarkEnd w:id="33"/>
    <w:bookmarkEnd w:id="34"/>
    <w:p w14:paraId="0F308CBD">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35" w:name="_Toc303539101"/>
      <w:bookmarkStart w:id="36" w:name="_Toc318581156"/>
      <w:bookmarkStart w:id="37" w:name="_Toc304295522"/>
      <w:bookmarkStart w:id="38" w:name="_Toc300934944"/>
      <w:bookmarkStart w:id="39" w:name="_Toc312677987"/>
      <w:r>
        <w:rPr>
          <w:rFonts w:hint="eastAsia" w:ascii="宋体" w:hAnsi="宋体" w:eastAsia="宋体" w:cs="宋体"/>
          <w:color w:val="auto"/>
          <w:sz w:val="24"/>
          <w:szCs w:val="24"/>
          <w:highlight w:val="none"/>
        </w:rPr>
        <w:t>.10.3 场内交通</w:t>
      </w:r>
    </w:p>
    <w:p w14:paraId="56679870">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关于场外交通和场内交通的边界的约定：</w:t>
      </w:r>
      <w:r>
        <w:rPr>
          <w:rFonts w:hint="eastAsia" w:ascii="宋体" w:hAnsi="宋体" w:eastAsia="宋体" w:cs="宋体"/>
          <w:color w:val="auto"/>
          <w:kern w:val="0"/>
          <w:sz w:val="24"/>
          <w:szCs w:val="24"/>
          <w:highlight w:val="none"/>
          <w:u w:val="single"/>
        </w:rPr>
        <w:t>开工前3日内，施工场地与红线外公共道路的通道达到施工进场的运输需要</w:t>
      </w:r>
      <w:r>
        <w:rPr>
          <w:rFonts w:hint="eastAsia" w:ascii="宋体" w:hAnsi="宋体" w:eastAsia="宋体" w:cs="宋体"/>
          <w:color w:val="auto"/>
          <w:sz w:val="24"/>
          <w:szCs w:val="24"/>
          <w:highlight w:val="none"/>
        </w:rPr>
        <w:t>。</w:t>
      </w:r>
    </w:p>
    <w:p w14:paraId="3512CED5">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关于发包人向承包人免费提供满足工程施工需要的场内道路和交通设施的约定：</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bookmarkEnd w:id="35"/>
      <w:bookmarkEnd w:id="36"/>
      <w:bookmarkEnd w:id="37"/>
      <w:bookmarkEnd w:id="38"/>
      <w:bookmarkEnd w:id="39"/>
      <w:r>
        <w:rPr>
          <w:rFonts w:hint="eastAsia" w:ascii="宋体" w:hAnsi="宋体" w:eastAsia="宋体" w:cs="宋体"/>
          <w:color w:val="auto"/>
          <w:sz w:val="24"/>
          <w:szCs w:val="24"/>
          <w:highlight w:val="none"/>
        </w:rPr>
        <w:t xml:space="preserve">  </w:t>
      </w:r>
      <w:bookmarkStart w:id="40" w:name="_Toc318581157"/>
    </w:p>
    <w:p w14:paraId="59D6A27A">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1.10.4超大件和超重件的运输</w:t>
      </w:r>
    </w:p>
    <w:p w14:paraId="304CEEF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运输超大件或超重件所需的道路和桥梁临时加固改造费用和其他有关费用由</w:t>
      </w:r>
      <w:r>
        <w:rPr>
          <w:rFonts w:hint="eastAsia" w:ascii="宋体" w:hAnsi="宋体" w:eastAsia="宋体" w:cs="宋体"/>
          <w:color w:val="auto"/>
          <w:sz w:val="24"/>
          <w:szCs w:val="24"/>
          <w:highlight w:val="none"/>
          <w:u w:val="single"/>
          <w:lang w:val="en-US" w:eastAsia="zh-CN"/>
        </w:rPr>
        <w:t>承包人</w:t>
      </w:r>
      <w:r>
        <w:rPr>
          <w:rFonts w:hint="eastAsia" w:ascii="宋体" w:hAnsi="宋体" w:eastAsia="宋体" w:cs="宋体"/>
          <w:color w:val="auto"/>
          <w:sz w:val="24"/>
          <w:szCs w:val="24"/>
          <w:highlight w:val="none"/>
        </w:rPr>
        <w:t>承担。</w:t>
      </w:r>
    </w:p>
    <w:bookmarkEnd w:id="40"/>
    <w:p w14:paraId="40A8DC4F">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 知识产权</w:t>
      </w:r>
    </w:p>
    <w:p w14:paraId="53215636">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p w14:paraId="23DCC724">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关于发包人提供的上述文件的使用限制的要求：</w:t>
      </w:r>
      <w:r>
        <w:rPr>
          <w:rFonts w:hint="eastAsia" w:ascii="宋体" w:hAnsi="宋体" w:eastAsia="宋体" w:cs="宋体"/>
          <w:color w:val="auto"/>
          <w:sz w:val="24"/>
          <w:szCs w:val="24"/>
          <w:highlight w:val="none"/>
          <w:u w:val="single"/>
        </w:rPr>
        <w:t>本工程所有图纸及所有相关资料不得外借，未经发包人同意不得用于其它工程或向第三方透漏有关该工程的一切信息</w:t>
      </w:r>
      <w:r>
        <w:rPr>
          <w:rFonts w:hint="eastAsia" w:ascii="宋体" w:hAnsi="宋体" w:eastAsia="宋体" w:cs="宋体"/>
          <w:color w:val="auto"/>
          <w:sz w:val="24"/>
          <w:szCs w:val="24"/>
          <w:highlight w:val="none"/>
        </w:rPr>
        <w:t>。</w:t>
      </w:r>
    </w:p>
    <w:p w14:paraId="7D005102">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关于承包人为实施工程所编制文件的著作权的归属：</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p w14:paraId="75331C24">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关于承包人提供的上述文件的使用限制的要求：</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p w14:paraId="6ECF3C84">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1.11.4 承包人在施工过程中所采用的专利、专有技术、技术秘密的使用费的承担方式：</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kern w:val="0"/>
          <w:sz w:val="24"/>
          <w:szCs w:val="24"/>
          <w:highlight w:val="none"/>
        </w:rPr>
        <w:t>。</w:t>
      </w:r>
    </w:p>
    <w:p w14:paraId="662CC26E">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1.13工程量清单错误的修正</w:t>
      </w:r>
    </w:p>
    <w:p w14:paraId="11B7729D">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出现工程量清单错误时，是否调整合同价格：</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kern w:val="0"/>
          <w:sz w:val="24"/>
          <w:szCs w:val="24"/>
          <w:highlight w:val="none"/>
        </w:rPr>
        <w:t>。</w:t>
      </w:r>
    </w:p>
    <w:p w14:paraId="266F4C4B">
      <w:pPr>
        <w:keepLines w:val="0"/>
        <w:pageBreakBefore w:val="0"/>
        <w:shd w:val="clear" w:color="auto" w:fill="auto"/>
        <w:kinsoku/>
        <w:wordWrap/>
        <w:overflowPunct/>
        <w:topLinePunct w:val="0"/>
        <w:bidi w:val="0"/>
        <w:snapToGrid/>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允许调整合同价格的工程量偏差范围：</w:t>
      </w:r>
      <w:r>
        <w:rPr>
          <w:rFonts w:hint="eastAsia" w:ascii="宋体" w:hAnsi="宋体" w:eastAsia="宋体" w:cs="宋体"/>
          <w:color w:val="auto"/>
          <w:sz w:val="24"/>
          <w:szCs w:val="24"/>
          <w:highlight w:val="none"/>
          <w:u w:val="single"/>
          <w:lang w:val="en-US" w:eastAsia="zh-CN"/>
        </w:rPr>
        <w:t xml:space="preserve">              </w:t>
      </w:r>
    </w:p>
    <w:p w14:paraId="0D20CFDD">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bookmarkStart w:id="41" w:name="_Toc351203634"/>
      <w:r>
        <w:rPr>
          <w:rFonts w:hint="eastAsia" w:ascii="宋体" w:hAnsi="宋体" w:eastAsia="宋体" w:cs="宋体"/>
          <w:color w:val="auto"/>
          <w:sz w:val="24"/>
          <w:szCs w:val="24"/>
          <w:highlight w:val="none"/>
        </w:rPr>
        <w:t>2</w:t>
      </w:r>
      <w:bookmarkStart w:id="42" w:name="_Toc296944496"/>
      <w:bookmarkStart w:id="43" w:name="_Toc296347156"/>
      <w:bookmarkStart w:id="44" w:name="_Toc292559362"/>
      <w:bookmarkStart w:id="45" w:name="_Toc297120457"/>
      <w:bookmarkStart w:id="46" w:name="_Toc296890985"/>
      <w:bookmarkStart w:id="47" w:name="_Toc297048343"/>
      <w:bookmarkStart w:id="48" w:name="_Toc292559867"/>
      <w:bookmarkStart w:id="49" w:name="_Toc296503157"/>
      <w:bookmarkStart w:id="50" w:name="_Toc296346658"/>
      <w:bookmarkStart w:id="51" w:name="_Toc296891197"/>
      <w:r>
        <w:rPr>
          <w:rFonts w:hint="eastAsia" w:ascii="宋体" w:hAnsi="宋体" w:eastAsia="宋体" w:cs="宋体"/>
          <w:color w:val="auto"/>
          <w:sz w:val="24"/>
          <w:szCs w:val="24"/>
          <w:highlight w:val="none"/>
        </w:rPr>
        <w:t>. 发包人</w:t>
      </w:r>
      <w:bookmarkEnd w:id="41"/>
    </w:p>
    <w:bookmarkEnd w:id="42"/>
    <w:bookmarkEnd w:id="43"/>
    <w:bookmarkEnd w:id="44"/>
    <w:bookmarkEnd w:id="45"/>
    <w:bookmarkEnd w:id="46"/>
    <w:bookmarkEnd w:id="47"/>
    <w:bookmarkEnd w:id="48"/>
    <w:bookmarkEnd w:id="49"/>
    <w:bookmarkEnd w:id="50"/>
    <w:bookmarkEnd w:id="51"/>
    <w:p w14:paraId="0620315B">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发包人代表</w:t>
      </w:r>
    </w:p>
    <w:p w14:paraId="4E91A009">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发包人代表：</w:t>
      </w:r>
    </w:p>
    <w:p w14:paraId="08378BB8">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4184D790">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2070B43D">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02E5B25">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2FE2DDAF">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  </w:t>
      </w:r>
      <w:r>
        <w:rPr>
          <w:rFonts w:hint="eastAsia" w:ascii="宋体" w:hAnsi="宋体" w:eastAsia="宋体" w:cs="宋体"/>
          <w:color w:val="auto"/>
          <w:sz w:val="24"/>
          <w:szCs w:val="24"/>
          <w:highlight w:val="none"/>
        </w:rPr>
        <w:t>；</w:t>
      </w:r>
    </w:p>
    <w:p w14:paraId="23E8F9D2">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6BF1ABA6">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发包人对发包人代表的授权范围如下：</w:t>
      </w:r>
      <w:r>
        <w:rPr>
          <w:rFonts w:hint="eastAsia" w:ascii="宋体" w:hAnsi="宋体" w:eastAsia="宋体" w:cs="宋体"/>
          <w:color w:val="auto"/>
          <w:sz w:val="24"/>
          <w:szCs w:val="24"/>
          <w:highlight w:val="none"/>
          <w:u w:val="single"/>
        </w:rPr>
        <w:t xml:space="preserve">具有安全管理、项目总投资控制和成本控制、质量控制、进度控制、合同管理、信息管理的权力，受理有关的通知、指示、同意、批准、证书、决定及其他通讯联络，负责有关的组织和协调等 </w:t>
      </w:r>
      <w:r>
        <w:rPr>
          <w:rFonts w:hint="eastAsia" w:ascii="宋体" w:hAnsi="宋体" w:eastAsia="宋体" w:cs="宋体"/>
          <w:color w:val="auto"/>
          <w:sz w:val="24"/>
          <w:szCs w:val="24"/>
          <w:highlight w:val="none"/>
        </w:rPr>
        <w:t>。</w:t>
      </w:r>
    </w:p>
    <w:p w14:paraId="3BD5CB06">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施工现场、施工条件和基础资料的提供</w:t>
      </w:r>
    </w:p>
    <w:p w14:paraId="601FD147">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提供施工现场</w:t>
      </w:r>
    </w:p>
    <w:p w14:paraId="59E91D12">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关于发包人移交施工现场的期限要求：</w:t>
      </w:r>
      <w:r>
        <w:rPr>
          <w:rFonts w:hint="eastAsia" w:ascii="宋体" w:hAnsi="宋体" w:eastAsia="宋体" w:cs="宋体"/>
          <w:color w:val="auto"/>
          <w:sz w:val="24"/>
          <w:szCs w:val="24"/>
          <w:highlight w:val="none"/>
          <w:u w:val="single"/>
        </w:rPr>
        <w:t>已具备开工条件</w:t>
      </w:r>
      <w:r>
        <w:rPr>
          <w:rFonts w:hint="eastAsia" w:ascii="宋体" w:hAnsi="宋体" w:eastAsia="宋体" w:cs="宋体"/>
          <w:color w:val="auto"/>
          <w:sz w:val="24"/>
          <w:szCs w:val="24"/>
          <w:highlight w:val="none"/>
        </w:rPr>
        <w:t>。</w:t>
      </w:r>
    </w:p>
    <w:p w14:paraId="41C27104">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提供施工条件</w:t>
      </w:r>
    </w:p>
    <w:p w14:paraId="4D3AE940">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关于发包人应负责提供施工所需要的条件，包括：开工前七日内将施工用水、用电接至现场并配备水电表，表外由承包人施工并承担费用。</w:t>
      </w:r>
    </w:p>
    <w:p w14:paraId="3BB92BC6">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资金来源证明及支付担保</w:t>
      </w:r>
    </w:p>
    <w:p w14:paraId="438F751B">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发包人提供资金来源证明的期限要求：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956680">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发包人是否提供支付担保：</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8E2194E">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发包人提供支付担保的形式：</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5BBE27CF">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bookmarkStart w:id="52" w:name="_Toc351203635"/>
      <w:r>
        <w:rPr>
          <w:rFonts w:hint="eastAsia" w:ascii="宋体" w:hAnsi="宋体" w:eastAsia="宋体" w:cs="宋体"/>
          <w:color w:val="auto"/>
          <w:sz w:val="24"/>
          <w:szCs w:val="24"/>
          <w:highlight w:val="none"/>
        </w:rPr>
        <w:t>3</w:t>
      </w:r>
      <w:bookmarkStart w:id="53" w:name="_Toc297120458"/>
      <w:bookmarkStart w:id="54" w:name="_Toc292559363"/>
      <w:bookmarkStart w:id="55" w:name="_Toc297048344"/>
      <w:bookmarkStart w:id="56" w:name="_Toc296346659"/>
      <w:bookmarkStart w:id="57" w:name="_Toc296347157"/>
      <w:bookmarkStart w:id="58" w:name="_Toc296891198"/>
      <w:bookmarkStart w:id="59" w:name="_Toc296890986"/>
      <w:bookmarkStart w:id="60" w:name="_Toc296944497"/>
      <w:bookmarkStart w:id="61" w:name="_Toc292559868"/>
      <w:bookmarkStart w:id="62" w:name="_Toc296503158"/>
      <w:r>
        <w:rPr>
          <w:rFonts w:hint="eastAsia" w:ascii="宋体" w:hAnsi="宋体" w:eastAsia="宋体" w:cs="宋体"/>
          <w:color w:val="auto"/>
          <w:sz w:val="24"/>
          <w:szCs w:val="24"/>
          <w:highlight w:val="none"/>
        </w:rPr>
        <w:t>. 承包人</w:t>
      </w:r>
      <w:bookmarkEnd w:id="52"/>
    </w:p>
    <w:bookmarkEnd w:id="53"/>
    <w:bookmarkEnd w:id="54"/>
    <w:bookmarkEnd w:id="55"/>
    <w:bookmarkEnd w:id="56"/>
    <w:bookmarkEnd w:id="57"/>
    <w:bookmarkEnd w:id="58"/>
    <w:bookmarkEnd w:id="59"/>
    <w:bookmarkEnd w:id="60"/>
    <w:bookmarkEnd w:id="61"/>
    <w:bookmarkEnd w:id="62"/>
    <w:p w14:paraId="04B39B56">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承包人的一般义务</w:t>
      </w:r>
    </w:p>
    <w:p w14:paraId="360B95B3">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（9）</w:t>
      </w:r>
      <w:r>
        <w:rPr>
          <w:rFonts w:hint="eastAsia" w:ascii="宋体" w:hAnsi="宋体" w:eastAsia="宋体" w:cs="宋体"/>
          <w:color w:val="auto"/>
          <w:sz w:val="24"/>
          <w:szCs w:val="24"/>
          <w:highlight w:val="none"/>
        </w:rPr>
        <w:t>承包人提交的竣工资料的内容：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5C9134">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承包人需要提交的竣工资料套数：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AFC2DD2">
      <w:pPr>
        <w:keepLines w:val="0"/>
        <w:pageBreakBefore w:val="0"/>
        <w:shd w:val="clear" w:color="auto" w:fill="auto"/>
        <w:kinsoku/>
        <w:wordWrap/>
        <w:overflowPunct/>
        <w:topLinePunct w:val="0"/>
        <w:bidi w:val="0"/>
        <w:snapToGrid/>
        <w:spacing w:line="360" w:lineRule="auto"/>
        <w:ind w:left="638" w:leftChars="304"/>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承包人提交的竣工资料的费用承担：</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4EE9F02">
      <w:pPr>
        <w:keepLines w:val="0"/>
        <w:pageBreakBefore w:val="0"/>
        <w:shd w:val="clear" w:color="auto" w:fill="auto"/>
        <w:kinsoku/>
        <w:wordWrap/>
        <w:overflowPunct/>
        <w:topLinePunct w:val="0"/>
        <w:bidi w:val="0"/>
        <w:snapToGrid/>
        <w:spacing w:line="360" w:lineRule="auto"/>
        <w:ind w:left="638" w:leftChars="304"/>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承包人提交的竣工资料移交时间：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2DFB059">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承包人提交的竣工资料形式要求：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BAB6695">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（10）承包人应履行的其他义务：</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FD4F94">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需由设计资质等级和业务范围允许的承包人完成的设计文件提交时间：按发包人的要求提供。</w:t>
      </w:r>
    </w:p>
    <w:p w14:paraId="4D632DE6">
      <w:pPr>
        <w:keepLines w:val="0"/>
        <w:pageBreakBefore w:val="0"/>
        <w:shd w:val="clear" w:color="auto" w:fill="auto"/>
        <w:kinsoku/>
        <w:wordWrap/>
        <w:overflowPunct/>
        <w:topLinePunct w:val="0"/>
        <w:bidi w:val="0"/>
        <w:snapToGrid/>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rPr>
        <w:t>应提供计划、报表的名称及完成时间：</w:t>
      </w:r>
      <w:r>
        <w:rPr>
          <w:rFonts w:hint="eastAsia" w:ascii="宋体" w:hAnsi="宋体" w:eastAsia="宋体" w:cs="宋体"/>
          <w:color w:val="auto"/>
          <w:sz w:val="24"/>
          <w:szCs w:val="24"/>
          <w:highlight w:val="none"/>
          <w:u w:val="single"/>
        </w:rPr>
        <w:t>a、合同签订后</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日内向发包人提供切实可行的施工方案，项目部组成人员名单（须与</w:t>
      </w:r>
      <w:r>
        <w:rPr>
          <w:rFonts w:hint="eastAsia" w:ascii="宋体" w:hAnsi="宋体" w:eastAsia="宋体" w:cs="宋体"/>
          <w:color w:val="auto"/>
          <w:sz w:val="24"/>
          <w:szCs w:val="24"/>
          <w:highlight w:val="none"/>
          <w:u w:val="single"/>
          <w:lang w:eastAsia="zh-CN"/>
        </w:rPr>
        <w:t>磋商响应文件</w:t>
      </w:r>
      <w:r>
        <w:rPr>
          <w:rFonts w:hint="eastAsia" w:ascii="宋体" w:hAnsi="宋体" w:eastAsia="宋体" w:cs="宋体"/>
          <w:color w:val="auto"/>
          <w:sz w:val="24"/>
          <w:szCs w:val="24"/>
          <w:highlight w:val="none"/>
          <w:u w:val="single"/>
        </w:rPr>
        <w:t>一致，否则视为违约，承包人须要承担违约金，更换项目经理承担10万元</w:t>
      </w:r>
      <w:bookmarkStart w:id="63" w:name="OLE_LINK56"/>
      <w:r>
        <w:rPr>
          <w:rFonts w:hint="eastAsia" w:ascii="宋体" w:hAnsi="宋体" w:eastAsia="宋体" w:cs="宋体"/>
          <w:color w:val="auto"/>
          <w:sz w:val="24"/>
          <w:szCs w:val="24"/>
          <w:highlight w:val="none"/>
          <w:u w:val="single"/>
        </w:rPr>
        <w:t>违约金</w:t>
      </w:r>
      <w:bookmarkEnd w:id="63"/>
      <w:r>
        <w:rPr>
          <w:rFonts w:hint="eastAsia" w:ascii="宋体" w:hAnsi="宋体" w:eastAsia="宋体" w:cs="宋体"/>
          <w:color w:val="auto"/>
          <w:sz w:val="24"/>
          <w:szCs w:val="24"/>
          <w:highlight w:val="none"/>
          <w:u w:val="single"/>
        </w:rPr>
        <w:t>，更换技术负责人承担5万元违约金，更换其他人员承担2万元/人违约金）；b、每月26日向发包人提供当月25日以前完成的工程量报表。</w:t>
      </w:r>
    </w:p>
    <w:p w14:paraId="6CDB8BE2">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承担施工安全保卫工作及非夜间施工照明的责任和要求：承包人应按建设相关条例和有关部门的要求自费承担这些工作（如警卫）和提供相应设施（如护板、围栏等），以保护公共安全，并提供方便</w:t>
      </w:r>
      <w:r>
        <w:rPr>
          <w:rFonts w:hint="eastAsia" w:ascii="宋体" w:hAnsi="宋体" w:eastAsia="宋体" w:cs="宋体"/>
          <w:color w:val="auto"/>
          <w:sz w:val="24"/>
          <w:szCs w:val="24"/>
          <w:highlight w:val="none"/>
          <w:u w:val="single"/>
          <w:lang w:val="zh-CN"/>
        </w:rPr>
        <w:t>。</w:t>
      </w:r>
    </w:p>
    <w:p w14:paraId="5E221D76">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向发包人提供的办公和生活房屋及设施的要求：/。</w:t>
      </w:r>
    </w:p>
    <w:p w14:paraId="169D35FF">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需承包人办理的有关施工场地交通、环卫和施工噪音管理等手续：需要办理交通特别通行证和出入证时，由承包人负责办证，费用自理；施工现场需要排放有害污水时，由承包人办理有关手续，费用自理；施工噪音超过标准规定时，由承包人办理有关手续，费用自理并应立即整改。</w:t>
      </w:r>
    </w:p>
    <w:p w14:paraId="0336C850">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已完工程成品保护的特殊要求及费用承担：成品保护责任由承包人承担，费用自理。</w:t>
      </w:r>
    </w:p>
    <w:p w14:paraId="3B4C7E0F">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u w:val="single"/>
        </w:rPr>
        <w:t>施工场地周围地下管线和邻近建筑物、构筑物（含文物保护建筑）、古树名木的保护要求及费用承担：根据建设单位提供的施工现场地下管线图和施工单位现场踏勘情况考虑相关费用，保护责任由承包人承担，费用自理。</w:t>
      </w:r>
    </w:p>
    <w:p w14:paraId="2FE72098">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8、</w:t>
      </w:r>
      <w:r>
        <w:rPr>
          <w:rFonts w:hint="eastAsia" w:ascii="宋体" w:hAnsi="宋体" w:eastAsia="宋体" w:cs="宋体"/>
          <w:color w:val="auto"/>
          <w:sz w:val="24"/>
          <w:szCs w:val="24"/>
          <w:highlight w:val="none"/>
          <w:u w:val="single"/>
        </w:rPr>
        <w:t>施工场地清洁卫生的要求：承包人按建设行政主管部门和相关部门的规定办理执行，所需费用由承包人负担。施工现场应达到市级文明工地标准，移交时工程的清洁卫生应符合标准。竣工后3日内，承包人负责搬走其所有材料设备，施工场地清理平整，否则每拖延1天，违约金人民币2000元。发包人进行不定期安全文明施工检查（每月至少一次），未达到市级文明工地标准的，每次违约金2000元。</w:t>
      </w:r>
    </w:p>
    <w:p w14:paraId="07227C3D">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9、</w:t>
      </w:r>
      <w:r>
        <w:rPr>
          <w:rFonts w:hint="eastAsia" w:ascii="宋体" w:hAnsi="宋体" w:eastAsia="宋体" w:cs="宋体"/>
          <w:color w:val="auto"/>
          <w:sz w:val="24"/>
          <w:szCs w:val="24"/>
          <w:highlight w:val="none"/>
          <w:u w:val="single"/>
        </w:rPr>
        <w:t>双方约定承包人应做的其他工作：</w:t>
      </w:r>
    </w:p>
    <w:p w14:paraId="184B0262">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本工程招标过程中，发包人已明确向承包人说明本项目现场所具备的开工条件，承包人已完全明白发包人能够提供的现场条件，施工过程中，承包人不得再已现场不具备开工条件而要求发包人支付任何费用，所需费用均已包括在合同价款中。</w:t>
      </w:r>
    </w:p>
    <w:p w14:paraId="3CD6E41B">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承包人应根据合同中所给定的(若未给定，则按工程师书面给出的)原始基准点、基准红线和基准标高对工程进行定位和放线。本款中提及的定位和放线是指工程的初始坐标定位、基准标高定位以及控制轴线的定位。此类定位和放线工作完成后，承包人应通知工程师要求发包人及时组织相关部门或机构进行复验并确认。如果此类复验发现承包人的定位或放线有误，承包人应立即予以矫正。一旦复验确认，则视为解除了承包人在工程定位和放线方面的责任。与工程定位和放线的复验有关的开支由承包人承担。</w:t>
      </w:r>
    </w:p>
    <w:p w14:paraId="6A60F076">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承包人应对整个现场的施工组织和施工方案的适用性、稳定性和安全性负全面责任。对于合同第4．5款提及的由承包人设计的部分工程的情况，即使已经获取工程师的批准，承包人也应对这部分工程负全面责任。</w:t>
      </w:r>
    </w:p>
    <w:p w14:paraId="510603CD">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承包人应当为完成合同而设置合理可行的的现场组织机构并为此任用那些在他们各自行业或职业内具有岗位资格的管理人员。但是，除非事先获得对方同意，严禁承包人从为发包人、设计单位服务的人员中招收或试图招收职员和工人。</w:t>
      </w:r>
    </w:p>
    <w:p w14:paraId="4EE5B141">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5）承包人应自行雇佣所有职员和劳务人员，支付报酬及安排食宿、遣返交通并承担相应费用。除此以外，承包人还应履行以下职责和义务并承担相应的开支：</w:t>
      </w:r>
    </w:p>
    <w:p w14:paraId="3502A86B">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 遵守劳动法及所有适用于本合同的有关法律、法规或规章中关于工人工资标准、劳动时间和劳动条件的规定，向他们合理支付以及保障他们享有法律规定的所有权利。承包人应按政府或有关管理机构的规定为本合同下雇佣的职员和工人办理任何必要的证件、许可和注册等；</w:t>
      </w:r>
    </w:p>
    <w:p w14:paraId="1C39D7A8">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 承包人应依法为本合同下雇佣的职员和工人提供适当和充分的劳动保护，包括安全保护、防寒防雨、常用药品、急救设备、传染病预防、身体检查等；</w:t>
      </w:r>
    </w:p>
    <w:p w14:paraId="5A320D52">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 承包人应依据劳动合同的约定，为本合同下雇佣的职员和工人提供必要的食宿条件和生活环境，包括：住房、围栏、供水(饮用及其他目的的用水)、供电、卫生设备、食堂及炊具、防火及灭火设备、供热、家具及其他正常食宿条件和生活环境所需的必需品等。承包人还应安排向其职员和工人供应足够的、价格合理的、合适的食品并应考虑宗教或民族习惯。</w:t>
      </w:r>
    </w:p>
    <w:p w14:paraId="576D2DAE">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6）承包人为本合同雇佣的特殊工种的工人和操作人员应受过专门的培训并已取得有关管理机构规定的上岗证书。这些特殊工种包括：电工、焊工、锅炉工、塔吊司机、信号工、架子工、施工机械操作人员等。</w:t>
      </w:r>
    </w:p>
    <w:p w14:paraId="0D65E7A6">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7）承包人应为下述人员从事其工作免费提供服务和配合，并负责工程实施过程中的必要协调：</w:t>
      </w:r>
    </w:p>
    <w:p w14:paraId="14BDAD15">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 将承包人负责修建、维修及保养的任何道路或通道，提供给其它施工人员使用；</w:t>
      </w:r>
    </w:p>
    <w:p w14:paraId="5387731A">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 允许其它施工单位人员使用承包人提供的临时工程、临时设施、脚手架和垂直运输机械和设备；</w:t>
      </w:r>
    </w:p>
    <w:p w14:paraId="627A9FA7">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 为保证承包人和其他承包人的工作不发生冲突，承包人应对他们的工作场所或材料存放等负责协调；</w:t>
      </w:r>
    </w:p>
    <w:p w14:paraId="1EFC0CD0">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 为其他承包人或分包人提供施工现场水电源。楼内临时水电管线由分包人自行自总包工地接入，总承包单位装表计量按照本</w:t>
      </w:r>
      <w:r>
        <w:rPr>
          <w:rFonts w:hint="eastAsia" w:ascii="宋体" w:hAnsi="宋体" w:eastAsia="宋体" w:cs="宋体"/>
          <w:color w:val="auto"/>
          <w:sz w:val="24"/>
          <w:szCs w:val="24"/>
          <w:highlight w:val="none"/>
          <w:u w:val="single"/>
          <w:lang w:eastAsia="zh-CN"/>
        </w:rPr>
        <w:t>磋商文件</w:t>
      </w:r>
      <w:r>
        <w:rPr>
          <w:rFonts w:hint="eastAsia" w:ascii="宋体" w:hAnsi="宋体" w:eastAsia="宋体" w:cs="宋体"/>
          <w:color w:val="auto"/>
          <w:sz w:val="24"/>
          <w:szCs w:val="24"/>
          <w:highlight w:val="none"/>
          <w:u w:val="single"/>
        </w:rPr>
        <w:t>规定单价收取水电费；</w:t>
      </w:r>
    </w:p>
    <w:p w14:paraId="2FB84F34">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(5) 清理现场垃圾（其他承包人将施工产生的垃圾运到承包人指定的合理堆放点）；</w:t>
      </w:r>
    </w:p>
    <w:p w14:paraId="010BCFAC">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(6) 在施工期间对于暂定价材料的卸车、清点、验收、保管等；</w:t>
      </w:r>
    </w:p>
    <w:p w14:paraId="3CD724B3">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(7) 在分包单位完成工作并将工作面给总包后，总包人应采取成品保护措施；</w:t>
      </w:r>
    </w:p>
    <w:p w14:paraId="1CF2467E">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(8) 汇总整理施工竣工资料，负责城市档案管理和相关材料的报送工作；</w:t>
      </w:r>
    </w:p>
    <w:p w14:paraId="03820B82">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(9) 对包括分包在内的工程总体施工进度计划的安排和日常协调；</w:t>
      </w:r>
    </w:p>
    <w:p w14:paraId="1E0DC543">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(10) 现场安全及文明施工的管理；</w:t>
      </w:r>
    </w:p>
    <w:p w14:paraId="40838092">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(11) 为分包单位及时提供足够的和无障碍的工作面；</w:t>
      </w:r>
    </w:p>
    <w:p w14:paraId="4AD2C052">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(12) 分包人进驻现场后，总包人提供分包人所需的基准定位轴线、定位标高、主要轴线和其它定位点；</w:t>
      </w:r>
    </w:p>
    <w:p w14:paraId="3A209469">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(13) 无条件的按发包人要求提供分包工程的便利工作条件；</w:t>
      </w:r>
    </w:p>
    <w:p w14:paraId="4E7D24F7">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(14) 分包人的埋管及设备安装后，总包人负责完成所余孔洞、勾槽的塞口等收尾工作。</w:t>
      </w:r>
    </w:p>
    <w:p w14:paraId="66F319D8">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（15）配合分包单位做好相关的联动调试工作。</w:t>
      </w:r>
    </w:p>
    <w:p w14:paraId="3BEA30E8">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 项目经理</w:t>
      </w:r>
    </w:p>
    <w:p w14:paraId="4DE601FF">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3.2.1 </w:t>
      </w:r>
      <w:r>
        <w:rPr>
          <w:rFonts w:hint="eastAsia" w:ascii="宋体" w:hAnsi="宋体" w:eastAsia="宋体" w:cs="宋体"/>
          <w:color w:val="auto"/>
          <w:sz w:val="24"/>
          <w:szCs w:val="24"/>
          <w:highlight w:val="none"/>
        </w:rPr>
        <w:t>项目经理：</w:t>
      </w:r>
    </w:p>
    <w:p w14:paraId="2B6CDF97">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37912A7C">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3FA07A66">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建造师执业资格等级：</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654BA2C8">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建造师注册证书号：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654DE430">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建造师执业印章号：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0ACA25B4">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7D498153">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 </w:t>
      </w:r>
      <w:r>
        <w:rPr>
          <w:rFonts w:hint="eastAsia" w:ascii="宋体" w:hAnsi="宋体" w:eastAsia="宋体" w:cs="宋体"/>
          <w:color w:val="auto"/>
          <w:sz w:val="24"/>
          <w:szCs w:val="24"/>
          <w:highlight w:val="none"/>
        </w:rPr>
        <w:t>；</w:t>
      </w:r>
    </w:p>
    <w:p w14:paraId="52616380">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B50AAEA">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5DA57EB9">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承包人对项目经理的授权范围如下：</w:t>
      </w:r>
      <w:r>
        <w:rPr>
          <w:rFonts w:hint="eastAsia" w:ascii="宋体" w:hAnsi="宋体" w:eastAsia="宋体" w:cs="宋体"/>
          <w:color w:val="auto"/>
          <w:sz w:val="24"/>
          <w:szCs w:val="24"/>
          <w:highlight w:val="none"/>
          <w:u w:val="single"/>
        </w:rPr>
        <w:t>1）严格按照相关施工管理的规范、规定等要求组织施工，并严格要求项目部的其他人员；2）遵守与发包人的廉洁从业协议；3）项目经理必须常驻施工现场，负责工程施工全过程的管理、协调工作，并处理往来文件；4）全面管理工程施工过程的质量、安全、进度、造价，及时解决施工工程中的问题；5）必须参加监理例会及其他由监理单位或发包人组织的有关工程施工的会议</w:t>
      </w:r>
      <w:r>
        <w:rPr>
          <w:rFonts w:hint="eastAsia" w:ascii="宋体" w:hAnsi="宋体" w:eastAsia="宋体" w:cs="宋体"/>
          <w:color w:val="auto"/>
          <w:sz w:val="24"/>
          <w:szCs w:val="24"/>
          <w:highlight w:val="none"/>
        </w:rPr>
        <w:t>。</w:t>
      </w:r>
    </w:p>
    <w:p w14:paraId="1AD8D6BB">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关于项目经理每月在施工现场的时间要求：</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8354A7B">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承包人未提交劳动合同，以及没有为项目经理缴纳社会保险证明的违约责任：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32005F">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项目经理未经批准，擅自离开施工现场的违约责任：</w:t>
      </w:r>
      <w:r>
        <w:rPr>
          <w:rFonts w:hint="eastAsia" w:ascii="宋体" w:hAnsi="宋体" w:eastAsia="宋体" w:cs="宋体"/>
          <w:color w:val="auto"/>
          <w:kern w:val="0"/>
          <w:sz w:val="24"/>
          <w:szCs w:val="24"/>
          <w:highlight w:val="none"/>
          <w:u w:val="single"/>
        </w:rPr>
        <w:t>项目经理必须到位，认真履行职责</w:t>
      </w:r>
      <w:r>
        <w:rPr>
          <w:rFonts w:hint="eastAsia" w:ascii="宋体" w:hAnsi="宋体" w:eastAsia="宋体" w:cs="宋体"/>
          <w:color w:val="auto"/>
          <w:sz w:val="24"/>
          <w:szCs w:val="24"/>
          <w:highlight w:val="none"/>
        </w:rPr>
        <w:t>。</w:t>
      </w:r>
    </w:p>
    <w:p w14:paraId="457CD351">
      <w:pPr>
        <w:keepLines w:val="0"/>
        <w:pageBreakBefore w:val="0"/>
        <w:shd w:val="clear" w:color="auto" w:fill="auto"/>
        <w:kinsoku/>
        <w:wordWrap/>
        <w:overflowPunct/>
        <w:topLinePunct w:val="0"/>
        <w:bidi w:val="0"/>
        <w:snapToGrid/>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承包人擅自更换项目经理的违约责任：</w:t>
      </w:r>
      <w:r>
        <w:rPr>
          <w:rFonts w:hint="eastAsia" w:ascii="宋体" w:hAnsi="宋体" w:eastAsia="宋体" w:cs="宋体"/>
          <w:color w:val="auto"/>
          <w:sz w:val="24"/>
          <w:szCs w:val="24"/>
          <w:highlight w:val="none"/>
          <w:u w:val="single"/>
        </w:rPr>
        <w:t>必须按照</w:t>
      </w:r>
      <w:r>
        <w:rPr>
          <w:rFonts w:hint="eastAsia" w:ascii="宋体" w:hAnsi="宋体" w:eastAsia="宋体" w:cs="宋体"/>
          <w:color w:val="auto"/>
          <w:sz w:val="24"/>
          <w:szCs w:val="24"/>
          <w:highlight w:val="none"/>
          <w:u w:val="single"/>
          <w:lang w:eastAsia="zh-CN"/>
        </w:rPr>
        <w:t>响应文件</w:t>
      </w:r>
      <w:r>
        <w:rPr>
          <w:rFonts w:hint="eastAsia" w:ascii="宋体" w:hAnsi="宋体" w:eastAsia="宋体" w:cs="宋体"/>
          <w:color w:val="auto"/>
          <w:sz w:val="24"/>
          <w:szCs w:val="24"/>
          <w:highlight w:val="none"/>
          <w:u w:val="single"/>
        </w:rPr>
        <w:t>中明确的项目部人员组成配备到位，本工程不允许擅自更换项目经理及其他主要管理人员，工程实施期间，建设单位认为相关人员不符合要求，建设单位有权要求更换相关人员，所更换人员需报建设单位审批。如施工方确需更换的，需报建设单位审批</w:t>
      </w:r>
      <w:r>
        <w:rPr>
          <w:rFonts w:hint="eastAsia" w:ascii="宋体" w:hAnsi="宋体" w:eastAsia="宋体" w:cs="宋体"/>
          <w:color w:val="auto"/>
          <w:sz w:val="24"/>
          <w:szCs w:val="24"/>
          <w:highlight w:val="none"/>
        </w:rPr>
        <w:t>。</w:t>
      </w:r>
    </w:p>
    <w:p w14:paraId="24E6CC47">
      <w:pPr>
        <w:keepLines w:val="0"/>
        <w:pageBreakBefore w:val="0"/>
        <w:shd w:val="clear" w:color="auto" w:fill="auto"/>
        <w:kinsoku/>
        <w:wordWrap/>
        <w:overflowPunct/>
        <w:topLinePunct w:val="0"/>
        <w:bidi w:val="0"/>
        <w:snapToGrid/>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3.2.4 承包人无正当理由拒绝更换项目经理的违约责任：</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23718D13">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 承包人人员</w:t>
      </w:r>
    </w:p>
    <w:p w14:paraId="41EEA863">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承包人提交项目管理机构及施工现场管理人员安排报告的期限：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52DB4AD3">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3.3.3 承包人无正当理由拒绝撤换主要施工管理人员的违约责任：</w:t>
      </w:r>
      <w:r>
        <w:rPr>
          <w:rFonts w:hint="eastAsia" w:ascii="宋体" w:hAnsi="宋体" w:eastAsia="宋体" w:cs="宋体"/>
          <w:color w:val="auto"/>
          <w:sz w:val="24"/>
          <w:szCs w:val="24"/>
          <w:highlight w:val="none"/>
          <w:u w:val="single"/>
        </w:rPr>
        <w:t xml:space="preserve">                                           </w:t>
      </w:r>
      <w:r>
        <w:rPr>
          <w:rFonts w:hint="eastAsia" w:ascii="宋体" w:hAnsi="宋体" w:eastAsia="宋体" w:cs="宋体"/>
          <w:color w:val="auto"/>
          <w:sz w:val="24"/>
          <w:szCs w:val="24"/>
          <w:highlight w:val="none"/>
        </w:rPr>
        <w:t>。</w:t>
      </w:r>
    </w:p>
    <w:p w14:paraId="0DF8AAAA">
      <w:pPr>
        <w:keepLines w:val="0"/>
        <w:pageBreakBefore w:val="0"/>
        <w:shd w:val="clear" w:color="auto" w:fill="auto"/>
        <w:kinsoku/>
        <w:wordWrap/>
        <w:overflowPunct/>
        <w:topLinePunct w:val="0"/>
        <w:bidi w:val="0"/>
        <w:snapToGrid/>
        <w:spacing w:line="360" w:lineRule="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3.3.4 承包人主要施工管理人员离开施工现场的批准要求：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6FC6363">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3.3.5承包人擅自更换主要施工管理人员的违约责任：</w:t>
      </w:r>
      <w:r>
        <w:rPr>
          <w:rFonts w:hint="eastAsia" w:ascii="宋体" w:hAnsi="宋体" w:eastAsia="宋体" w:cs="宋体"/>
          <w:color w:val="auto"/>
          <w:sz w:val="24"/>
          <w:szCs w:val="24"/>
          <w:highlight w:val="none"/>
          <w:u w:val="single"/>
        </w:rPr>
        <w:t>必须按照</w:t>
      </w:r>
      <w:r>
        <w:rPr>
          <w:rFonts w:hint="eastAsia" w:ascii="宋体" w:hAnsi="宋体" w:eastAsia="宋体" w:cs="宋体"/>
          <w:color w:val="auto"/>
          <w:sz w:val="24"/>
          <w:szCs w:val="24"/>
          <w:highlight w:val="none"/>
          <w:u w:val="single"/>
          <w:lang w:eastAsia="zh-CN"/>
        </w:rPr>
        <w:t>响应文件</w:t>
      </w:r>
      <w:r>
        <w:rPr>
          <w:rFonts w:hint="eastAsia" w:ascii="宋体" w:hAnsi="宋体" w:eastAsia="宋体" w:cs="宋体"/>
          <w:color w:val="auto"/>
          <w:sz w:val="24"/>
          <w:szCs w:val="24"/>
          <w:highlight w:val="none"/>
          <w:u w:val="single"/>
        </w:rPr>
        <w:t>中明确的项目部人员组成配备到位，本工程不允许擅自更换项目经理及其他主要管理人员，工程实施期间，建设单位认为相关人员不符合要求，建设单位有权要求更换相关人员，所更换人员需报建设单位审批。如施工方确需更换的，需报建设单位审批</w:t>
      </w:r>
      <w:r>
        <w:rPr>
          <w:rFonts w:hint="eastAsia" w:ascii="宋体" w:hAnsi="宋体" w:eastAsia="宋体" w:cs="宋体"/>
          <w:color w:val="auto"/>
          <w:sz w:val="24"/>
          <w:szCs w:val="24"/>
          <w:highlight w:val="none"/>
        </w:rPr>
        <w:t>。</w:t>
      </w:r>
    </w:p>
    <w:p w14:paraId="72B04BF2">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承包人主要施工管理人员擅自离开施工现场的违约责任：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8445636">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64" w:name="_Toc297048345"/>
      <w:bookmarkStart w:id="65" w:name="_Toc297123492"/>
      <w:bookmarkStart w:id="66" w:name="_Toc296346660"/>
      <w:bookmarkStart w:id="67" w:name="_Toc296347158"/>
      <w:bookmarkStart w:id="68" w:name="_Toc296891199"/>
      <w:bookmarkStart w:id="69" w:name="_Toc297120459"/>
      <w:bookmarkStart w:id="70" w:name="_Toc296890987"/>
      <w:bookmarkStart w:id="71" w:name="_Toc296944498"/>
      <w:bookmarkStart w:id="72" w:name="_Toc304295523"/>
      <w:bookmarkStart w:id="73" w:name="_Toc292559869"/>
      <w:bookmarkStart w:id="74" w:name="_Toc296503159"/>
      <w:bookmarkStart w:id="75" w:name="_Toc312677988"/>
      <w:bookmarkStart w:id="76" w:name="_Toc300934945"/>
      <w:bookmarkStart w:id="77" w:name="_Toc297216151"/>
      <w:bookmarkStart w:id="78" w:name="_Toc292559364"/>
      <w:bookmarkStart w:id="79" w:name="_Toc303539102"/>
      <w:r>
        <w:rPr>
          <w:rFonts w:hint="eastAsia" w:ascii="宋体" w:hAnsi="宋体" w:eastAsia="宋体" w:cs="宋体"/>
          <w:color w:val="auto"/>
          <w:sz w:val="24"/>
          <w:szCs w:val="24"/>
          <w:highlight w:val="none"/>
        </w:rPr>
        <w:t>.5 分包</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6636E823">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bookmarkStart w:id="80" w:name="_Toc318581158"/>
      <w:bookmarkStart w:id="81" w:name="_Toc296346661"/>
      <w:bookmarkStart w:id="82" w:name="_Toc296890988"/>
      <w:bookmarkStart w:id="83" w:name="_Toc300934946"/>
      <w:bookmarkStart w:id="84" w:name="_Toc297120460"/>
      <w:bookmarkStart w:id="85" w:name="_Toc296891200"/>
      <w:bookmarkStart w:id="86" w:name="_Toc297123493"/>
      <w:bookmarkStart w:id="87" w:name="_Toc304295524"/>
      <w:bookmarkStart w:id="88" w:name="_Toc296944499"/>
      <w:bookmarkStart w:id="89" w:name="_Toc297216152"/>
      <w:bookmarkStart w:id="90" w:name="_Toc297048346"/>
      <w:bookmarkStart w:id="91" w:name="_Toc296347159"/>
      <w:bookmarkStart w:id="92" w:name="_Toc292559870"/>
      <w:bookmarkStart w:id="93" w:name="_Toc303539103"/>
      <w:bookmarkStart w:id="94" w:name="_Toc312677989"/>
      <w:bookmarkStart w:id="95" w:name="_Toc292559365"/>
      <w:bookmarkStart w:id="96" w:name="_Toc296503160"/>
      <w:r>
        <w:rPr>
          <w:rFonts w:hint="eastAsia" w:ascii="宋体" w:hAnsi="宋体" w:eastAsia="宋体" w:cs="宋体"/>
          <w:color w:val="auto"/>
          <w:sz w:val="24"/>
          <w:szCs w:val="24"/>
          <w:highlight w:val="none"/>
        </w:rPr>
        <w:t>.5.1 分包的一般约定</w:t>
      </w:r>
    </w:p>
    <w:p w14:paraId="30E031FB">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禁止分包的工程包括：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4B91A2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主体结构、关键性工作的范围：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79CB410F">
      <w:pPr>
        <w:keepLines w:val="0"/>
        <w:pageBreakBefore w:val="0"/>
        <w:shd w:val="clear" w:color="auto" w:fill="auto"/>
        <w:kinsoku/>
        <w:wordWrap/>
        <w:overflowPunct/>
        <w:topLinePunct w:val="0"/>
        <w:bidi w:val="0"/>
        <w:snapToGrid/>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w:t>
      </w:r>
      <w:bookmarkStart w:id="97" w:name="_Toc318581159"/>
      <w:bookmarkStart w:id="98" w:name="_Toc312677990"/>
      <w:r>
        <w:rPr>
          <w:rFonts w:hint="eastAsia" w:ascii="宋体" w:hAnsi="宋体" w:eastAsia="宋体" w:cs="宋体"/>
          <w:color w:val="auto"/>
          <w:sz w:val="24"/>
          <w:szCs w:val="24"/>
          <w:highlight w:val="none"/>
        </w:rPr>
        <w:t>.5.2分包的确定</w:t>
      </w:r>
    </w:p>
    <w:p w14:paraId="60F5B633">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允许分包的专业工程包括：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E9353AB">
      <w:pPr>
        <w:keepLines w:val="0"/>
        <w:pageBreakBefore w:val="0"/>
        <w:shd w:val="clear" w:color="auto" w:fill="auto"/>
        <w:kinsoku/>
        <w:wordWrap/>
        <w:overflowPunct/>
        <w:topLinePunct w:val="0"/>
        <w:bidi w:val="0"/>
        <w:snapToGrid/>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其他关于分包的约定：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7E8F8B">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3.5.4 分包合同价款</w:t>
      </w:r>
    </w:p>
    <w:p w14:paraId="761857FF">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关于分包合同价款支付的约定：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97"/>
    <w:bookmarkEnd w:id="98"/>
    <w:p w14:paraId="59A72A7E">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 工程照管与成品、半成品保护</w:t>
      </w:r>
    </w:p>
    <w:p w14:paraId="16D5BEF7">
      <w:pPr>
        <w:keepLines w:val="0"/>
        <w:pageBreakBefore w:val="0"/>
        <w:shd w:val="clear" w:color="auto" w:fill="auto"/>
        <w:kinsoku/>
        <w:wordWrap/>
        <w:overflowPunct/>
        <w:topLinePunct w:val="0"/>
        <w:bidi w:val="0"/>
        <w:snapToGrid/>
        <w:spacing w:before="120" w:after="120" w:line="360" w:lineRule="auto"/>
        <w:ind w:firstLine="480" w:firstLineChars="200"/>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承包人负责照管工程及工程相关的材料、工程设备的起始时间：</w:t>
      </w:r>
      <w:r>
        <w:rPr>
          <w:rFonts w:hint="eastAsia" w:ascii="宋体" w:hAnsi="宋体" w:eastAsia="宋体" w:cs="宋体"/>
          <w:color w:val="auto"/>
          <w:kern w:val="0"/>
          <w:sz w:val="24"/>
          <w:szCs w:val="24"/>
          <w:highlight w:val="none"/>
          <w:u w:val="single"/>
        </w:rPr>
        <w:t>工程开工之日起至工程竣工验收合格并交付发包人之日止</w:t>
      </w:r>
      <w:r>
        <w:rPr>
          <w:rFonts w:hint="eastAsia" w:ascii="宋体" w:hAnsi="宋体" w:eastAsia="宋体" w:cs="宋体"/>
          <w:color w:val="auto"/>
          <w:kern w:val="0"/>
          <w:sz w:val="24"/>
          <w:szCs w:val="24"/>
          <w:highlight w:val="none"/>
        </w:rPr>
        <w:t>。</w:t>
      </w:r>
    </w:p>
    <w:p w14:paraId="66457ADA">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 履约担保</w:t>
      </w:r>
    </w:p>
    <w:p w14:paraId="08D7A01C">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承包人是否提供履约担保：</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否</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5D37453">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承包人提供履约担保的形式、金额及期限的：</w:t>
      </w:r>
    </w:p>
    <w:p w14:paraId="7C8F6200">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担保方式为：</w:t>
      </w:r>
      <w:r>
        <w:rPr>
          <w:rFonts w:hint="eastAsia" w:ascii="宋体" w:hAnsi="宋体" w:eastAsia="宋体" w:cs="宋体"/>
          <w:color w:val="auto"/>
          <w:sz w:val="24"/>
          <w:szCs w:val="24"/>
          <w:highlight w:val="none"/>
          <w:u w:val="single"/>
        </w:rPr>
        <w:t>_</w:t>
      </w:r>
      <w:r>
        <w:rPr>
          <w:rFonts w:hint="eastAsia" w:ascii="宋体" w:hAnsi="宋体" w:eastAsia="宋体" w:cs="宋体"/>
          <w:color w:val="auto"/>
          <w:sz w:val="24"/>
          <w:szCs w:val="24"/>
          <w:highlight w:val="none"/>
          <w:u w:val="single"/>
          <w:lang w:eastAsia="zh-CN"/>
        </w:rPr>
        <w:t>承包人基本户银行出具的银行保函</w:t>
      </w:r>
      <w:r>
        <w:rPr>
          <w:rFonts w:hint="eastAsia" w:ascii="宋体" w:hAnsi="宋体" w:eastAsia="宋体" w:cs="宋体"/>
          <w:color w:val="auto"/>
          <w:sz w:val="24"/>
          <w:szCs w:val="24"/>
          <w:highlight w:val="none"/>
          <w:u w:val="single"/>
        </w:rPr>
        <w:t>；</w:t>
      </w:r>
    </w:p>
    <w:p w14:paraId="41B17A26">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担保金额：</w:t>
      </w:r>
      <w:r>
        <w:rPr>
          <w:rFonts w:hint="eastAsia" w:ascii="宋体" w:hAnsi="宋体" w:eastAsia="宋体" w:cs="宋体"/>
          <w:color w:val="auto"/>
          <w:sz w:val="24"/>
          <w:szCs w:val="24"/>
          <w:highlight w:val="none"/>
          <w:u w:val="single"/>
        </w:rPr>
        <w:t>_</w:t>
      </w:r>
      <w:r>
        <w:rPr>
          <w:rFonts w:hint="eastAsia" w:ascii="宋体" w:hAnsi="宋体" w:eastAsia="宋体" w:cs="宋体"/>
          <w:color w:val="auto"/>
          <w:sz w:val="24"/>
          <w:szCs w:val="24"/>
          <w:highlight w:val="none"/>
          <w:u w:val="single"/>
          <w:lang w:eastAsia="zh-CN"/>
        </w:rPr>
        <w:t>签约合同价的</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w:t>
      </w:r>
    </w:p>
    <w:p w14:paraId="4E0A63F6">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担保有效期：</w:t>
      </w:r>
      <w:r>
        <w:rPr>
          <w:rFonts w:hint="eastAsia" w:ascii="宋体" w:hAnsi="宋体" w:eastAsia="宋体" w:cs="宋体"/>
          <w:color w:val="auto"/>
          <w:sz w:val="24"/>
          <w:szCs w:val="24"/>
          <w:highlight w:val="none"/>
          <w:u w:val="single"/>
          <w:lang w:eastAsia="zh-CN"/>
        </w:rPr>
        <w:t>自合同签订之日至</w:t>
      </w:r>
      <w:r>
        <w:rPr>
          <w:rFonts w:hint="eastAsia" w:ascii="宋体" w:hAnsi="宋体" w:eastAsia="宋体" w:cs="宋体"/>
          <w:color w:val="auto"/>
          <w:sz w:val="24"/>
          <w:szCs w:val="24"/>
          <w:highlight w:val="none"/>
          <w:u w:val="single"/>
        </w:rPr>
        <w:t>工程竣工验收合格。</w:t>
      </w:r>
    </w:p>
    <w:p w14:paraId="32228743">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bookmarkStart w:id="99" w:name="_Toc351203636"/>
      <w:r>
        <w:rPr>
          <w:rFonts w:hint="eastAsia" w:ascii="宋体" w:hAnsi="宋体" w:eastAsia="宋体" w:cs="宋体"/>
          <w:color w:val="auto"/>
          <w:sz w:val="24"/>
          <w:szCs w:val="24"/>
          <w:highlight w:val="none"/>
        </w:rPr>
        <w:t>4</w:t>
      </w:r>
      <w:bookmarkStart w:id="100" w:name="_Toc296347161"/>
      <w:bookmarkStart w:id="101" w:name="_Toc292559871"/>
      <w:bookmarkStart w:id="102" w:name="_Toc296890990"/>
      <w:bookmarkStart w:id="103" w:name="_Toc292559366"/>
      <w:bookmarkStart w:id="104" w:name="_Toc267251413"/>
      <w:bookmarkStart w:id="105" w:name="_Toc297120462"/>
      <w:bookmarkStart w:id="106" w:name="_Toc296503162"/>
      <w:bookmarkStart w:id="107" w:name="_Toc296891202"/>
      <w:bookmarkStart w:id="108" w:name="_Toc296944501"/>
      <w:bookmarkStart w:id="109" w:name="_Toc296346663"/>
      <w:bookmarkStart w:id="110" w:name="_Toc297048348"/>
      <w:r>
        <w:rPr>
          <w:rFonts w:hint="eastAsia" w:ascii="宋体" w:hAnsi="宋体" w:eastAsia="宋体" w:cs="宋体"/>
          <w:color w:val="auto"/>
          <w:sz w:val="24"/>
          <w:szCs w:val="24"/>
          <w:highlight w:val="none"/>
        </w:rPr>
        <w:t>. 监</w:t>
      </w:r>
      <w:bookmarkEnd w:id="100"/>
      <w:bookmarkEnd w:id="101"/>
      <w:bookmarkEnd w:id="102"/>
      <w:bookmarkEnd w:id="103"/>
      <w:bookmarkEnd w:id="104"/>
      <w:bookmarkEnd w:id="105"/>
      <w:bookmarkEnd w:id="106"/>
      <w:bookmarkEnd w:id="107"/>
      <w:bookmarkEnd w:id="108"/>
      <w:bookmarkEnd w:id="109"/>
      <w:bookmarkEnd w:id="110"/>
      <w:r>
        <w:rPr>
          <w:rFonts w:hint="eastAsia" w:ascii="宋体" w:hAnsi="宋体" w:eastAsia="宋体" w:cs="宋体"/>
          <w:color w:val="auto"/>
          <w:sz w:val="24"/>
          <w:szCs w:val="24"/>
          <w:highlight w:val="none"/>
        </w:rPr>
        <w:t>理人</w:t>
      </w:r>
      <w:bookmarkEnd w:id="99"/>
    </w:p>
    <w:p w14:paraId="7342F2FC">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4.1监理人的一般规定</w:t>
      </w:r>
    </w:p>
    <w:p w14:paraId="61B5C4D5">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关于监理人的监理内容</w:t>
      </w:r>
      <w:r>
        <w:rPr>
          <w:rFonts w:hint="eastAsia" w:ascii="宋体" w:hAnsi="宋体" w:eastAsia="宋体" w:cs="宋体"/>
          <w:color w:val="auto"/>
          <w:sz w:val="24"/>
          <w:szCs w:val="24"/>
          <w:highlight w:val="none"/>
          <w:u w:val="single"/>
        </w:rPr>
        <w:t>：总分包项目的施工准备阶段、施工阶段、竣工保修阶段的全过程、全内容监理工作</w:t>
      </w:r>
      <w:r>
        <w:rPr>
          <w:rFonts w:hint="eastAsia" w:ascii="宋体" w:hAnsi="宋体" w:eastAsia="宋体" w:cs="宋体"/>
          <w:color w:val="auto"/>
          <w:sz w:val="24"/>
          <w:szCs w:val="24"/>
          <w:highlight w:val="none"/>
        </w:rPr>
        <w:t>。</w:t>
      </w:r>
    </w:p>
    <w:p w14:paraId="14A8D67A">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关于监理人的监理权限：</w:t>
      </w:r>
      <w:r>
        <w:rPr>
          <w:rFonts w:hint="eastAsia" w:ascii="宋体" w:hAnsi="宋体" w:eastAsia="宋体" w:cs="宋体"/>
          <w:color w:val="auto"/>
          <w:sz w:val="24"/>
          <w:szCs w:val="24"/>
          <w:highlight w:val="none"/>
          <w:u w:val="single"/>
        </w:rPr>
        <w:t>（1）按照合同约定进行工程质量、施工进度及进度投资的管理和控制；（2）按照国家法律法规，进行施工现场安全、文明施工管理；（3）对工程资料的审查；（4）对施工现场相关各种关系进行协调。需要取得发包人批准才能行使的职权：顺延工期、停工指令、重大工程洽商、设计变更、材料代用、发包人指定价的认质认价等。在决策之前需经发包人同意。</w:t>
      </w:r>
    </w:p>
    <w:p w14:paraId="2C375212">
      <w:pPr>
        <w:keepLines w:val="0"/>
        <w:pageBreakBefore w:val="0"/>
        <w:shd w:val="clear" w:color="auto" w:fill="auto"/>
        <w:kinsoku/>
        <w:wordWrap/>
        <w:overflowPunct/>
        <w:topLinePunct w:val="0"/>
        <w:bidi w:val="0"/>
        <w:snapToGrid/>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关于监理人在施工现场的办公场所、生活场所的提供和费用承担的约定：</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BD0F340">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监理人员</w:t>
      </w:r>
    </w:p>
    <w:p w14:paraId="3DFAB09C">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w:t>
      </w:r>
    </w:p>
    <w:p w14:paraId="57755A2F">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53D29B0">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0E78EE5C">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监理工程师执业资格证书号：</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w:t>
      </w:r>
    </w:p>
    <w:p w14:paraId="6DEE0744">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6C67F72D">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4965DBD3">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通信地址：</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57CA2470">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关于监理人的其他约定：</w:t>
      </w:r>
      <w:r>
        <w:rPr>
          <w:rFonts w:hint="eastAsia" w:ascii="宋体" w:hAnsi="宋体" w:eastAsia="宋体" w:cs="宋体"/>
          <w:color w:val="auto"/>
          <w:sz w:val="24"/>
          <w:szCs w:val="24"/>
          <w:highlight w:val="none"/>
          <w:u w:val="single"/>
        </w:rPr>
        <w:t>   </w:t>
      </w:r>
      <w:r>
        <w:rPr>
          <w:rFonts w:hint="eastAsia" w:ascii="宋体" w:hAnsi="宋体" w:eastAsia="宋体" w:cs="宋体"/>
          <w:color w:val="auto"/>
          <w:sz w:val="24"/>
          <w:szCs w:val="24"/>
          <w:highlight w:val="none"/>
        </w:rPr>
        <w:t>。</w:t>
      </w:r>
    </w:p>
    <w:p w14:paraId="167144D2">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 商定或确定</w:t>
      </w:r>
    </w:p>
    <w:p w14:paraId="16A5C5FB">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bookmarkStart w:id="111" w:name="_Toc267251418"/>
      <w:r>
        <w:rPr>
          <w:rFonts w:hint="eastAsia" w:ascii="宋体" w:hAnsi="宋体" w:eastAsia="宋体" w:cs="宋体"/>
          <w:color w:val="auto"/>
          <w:sz w:val="24"/>
          <w:szCs w:val="24"/>
          <w:highlight w:val="none"/>
        </w:rPr>
        <w:t>在发包人和承包人不能通过协商达成一致意见时，发包人授权监理人对以下事项进行确定：</w:t>
      </w:r>
    </w:p>
    <w:p w14:paraId="798BB43F">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918D698">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B880085">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7AF606">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lang w:val="en-US" w:eastAsia="zh-CN"/>
        </w:rPr>
      </w:pPr>
      <w:bookmarkStart w:id="112" w:name="_Toc351203637"/>
      <w:r>
        <w:rPr>
          <w:rFonts w:hint="eastAsia" w:ascii="宋体" w:hAnsi="宋体" w:eastAsia="宋体" w:cs="宋体"/>
          <w:color w:val="auto"/>
          <w:sz w:val="24"/>
          <w:szCs w:val="24"/>
          <w:highlight w:val="none"/>
          <w:lang w:val="en-US" w:eastAsia="zh-CN"/>
        </w:rPr>
        <w:t>5</w:t>
      </w:r>
      <w:bookmarkEnd w:id="111"/>
      <w:bookmarkStart w:id="113" w:name="_Toc292559367"/>
      <w:bookmarkStart w:id="114" w:name="_Toc296503163"/>
      <w:bookmarkStart w:id="115" w:name="_Toc296890991"/>
      <w:bookmarkStart w:id="116" w:name="_Toc292559872"/>
      <w:bookmarkStart w:id="117" w:name="_Toc297048349"/>
      <w:bookmarkStart w:id="118" w:name="_Toc296346664"/>
      <w:bookmarkStart w:id="119" w:name="_Toc296944502"/>
      <w:bookmarkStart w:id="120" w:name="_Toc297120463"/>
      <w:bookmarkStart w:id="121" w:name="_Toc296347162"/>
      <w:bookmarkStart w:id="122" w:name="_Toc296891203"/>
      <w:r>
        <w:rPr>
          <w:rFonts w:hint="eastAsia" w:ascii="宋体" w:hAnsi="宋体" w:eastAsia="宋体" w:cs="宋体"/>
          <w:color w:val="auto"/>
          <w:sz w:val="24"/>
          <w:szCs w:val="24"/>
          <w:highlight w:val="none"/>
          <w:lang w:val="en-US" w:eastAsia="zh-CN"/>
        </w:rPr>
        <w:t>. 工程质量</w:t>
      </w:r>
      <w:bookmarkEnd w:id="112"/>
    </w:p>
    <w:p w14:paraId="7EC3B821">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质量要求</w:t>
      </w:r>
    </w:p>
    <w:p w14:paraId="77874173">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bookmarkStart w:id="123" w:name="_Toc297123496"/>
      <w:bookmarkStart w:id="124" w:name="_Toc304295527"/>
      <w:bookmarkStart w:id="125" w:name="_Toc297216155"/>
      <w:bookmarkStart w:id="126" w:name="_Toc303539106"/>
      <w:bookmarkStart w:id="127" w:name="_Toc300934949"/>
      <w:bookmarkStart w:id="128" w:name="_Toc312677997"/>
      <w:bookmarkStart w:id="129" w:name="_Toc318581164"/>
      <w:r>
        <w:rPr>
          <w:rFonts w:hint="eastAsia" w:ascii="宋体" w:hAnsi="宋体" w:eastAsia="宋体" w:cs="宋体"/>
          <w:color w:val="auto"/>
          <w:sz w:val="24"/>
          <w:szCs w:val="24"/>
          <w:highlight w:val="none"/>
        </w:rPr>
        <w:t>.1.1 特殊质量标准和要求：</w:t>
      </w:r>
      <w:r>
        <w:rPr>
          <w:rFonts w:hint="eastAsia" w:ascii="宋体" w:hAnsi="宋体" w:eastAsia="宋体" w:cs="宋体"/>
          <w:color w:val="auto"/>
          <w:sz w:val="24"/>
          <w:szCs w:val="24"/>
          <w:highlight w:val="none"/>
          <w:u w:val="single"/>
        </w:rPr>
        <w:t>工程验收合格率100%，重大质量事故发生率为0；承包人在开工前，根据项目工程特点和合同规定的质量目标，编制《项目质量计划》，并上报发包人和监理单位。由发包人和监理单位审查其质量保证体系、质量保证措施、主要工程施工方案选择的合理性和有效性、质量通病防治措施等，并将意见以书面形式反馈给承包人进行修改，修改审批完成后严格执行</w:t>
      </w:r>
      <w:r>
        <w:rPr>
          <w:rFonts w:hint="eastAsia" w:ascii="宋体" w:hAnsi="宋体" w:eastAsia="宋体" w:cs="宋体"/>
          <w:color w:val="auto"/>
          <w:sz w:val="24"/>
          <w:szCs w:val="24"/>
          <w:highlight w:val="none"/>
        </w:rPr>
        <w:t>。</w:t>
      </w:r>
    </w:p>
    <w:p w14:paraId="78250C65">
      <w:pPr>
        <w:keepLines w:val="0"/>
        <w:pageBreakBefore w:val="0"/>
        <w:shd w:val="clear" w:color="auto" w:fill="auto"/>
        <w:kinsoku/>
        <w:wordWrap/>
        <w:overflowPunct/>
        <w:topLinePunct w:val="0"/>
        <w:bidi w:val="0"/>
        <w:snapToGrid/>
        <w:spacing w:line="360" w:lineRule="auto"/>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关于工程奖项的约定：</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293FC79">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 隐蔽工程检查</w:t>
      </w:r>
    </w:p>
    <w:p w14:paraId="16257FB9">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5.3.2承包人提前通知监理人隐蔽工程检查的期限的约定：</w:t>
      </w:r>
      <w:r>
        <w:rPr>
          <w:rFonts w:hint="eastAsia" w:ascii="宋体" w:hAnsi="宋体" w:eastAsia="宋体" w:cs="宋体"/>
          <w:color w:val="auto"/>
          <w:sz w:val="24"/>
          <w:szCs w:val="24"/>
          <w:highlight w:val="none"/>
          <w:u w:val="single"/>
        </w:rPr>
        <w:t>工程具备隐蔽条件或达到专用条款约定的中间验收部位，承包人进行自检，并在隐蔽或中间验收前48小时以书面形式通知工程师验收。通知包括隐蔽和中间验收的内容、验收时间和地点</w:t>
      </w:r>
      <w:r>
        <w:rPr>
          <w:rFonts w:hint="eastAsia" w:ascii="宋体" w:hAnsi="宋体" w:eastAsia="宋体" w:cs="宋体"/>
          <w:color w:val="auto"/>
          <w:sz w:val="24"/>
          <w:szCs w:val="24"/>
          <w:highlight w:val="none"/>
        </w:rPr>
        <w:t>。</w:t>
      </w:r>
    </w:p>
    <w:p w14:paraId="0B187DC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监理人不能按时进行检查时，应提前</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rPr>
        <w:t>小时提交书面延期要求。</w:t>
      </w:r>
    </w:p>
    <w:p w14:paraId="779241D2">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rPr>
        <w:t>小时。</w:t>
      </w:r>
    </w:p>
    <w:p w14:paraId="6FC0DAD1">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lang w:val="en-US" w:eastAsia="zh-CN"/>
        </w:rPr>
      </w:pPr>
      <w:bookmarkStart w:id="130" w:name="_Toc351203638"/>
      <w:r>
        <w:rPr>
          <w:rFonts w:hint="eastAsia" w:ascii="宋体" w:hAnsi="宋体" w:eastAsia="宋体" w:cs="宋体"/>
          <w:color w:val="auto"/>
          <w:sz w:val="24"/>
          <w:szCs w:val="24"/>
          <w:highlight w:val="none"/>
          <w:lang w:val="en-US" w:eastAsia="zh-CN"/>
        </w:rPr>
        <w:t>6. 安全文明施工与环境保护</w:t>
      </w:r>
      <w:bookmarkEnd w:id="130"/>
    </w:p>
    <w:p w14:paraId="0748128F">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6.1安全文明施工</w:t>
      </w:r>
    </w:p>
    <w:p w14:paraId="68DF60FC">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6.1.1 项目安全生产的达标目标及相应事项的约定：</w:t>
      </w:r>
      <w:r>
        <w:rPr>
          <w:rFonts w:hint="eastAsia" w:ascii="宋体" w:hAnsi="宋体" w:eastAsia="宋体" w:cs="宋体"/>
          <w:color w:val="auto"/>
          <w:sz w:val="24"/>
          <w:szCs w:val="24"/>
          <w:highlight w:val="none"/>
          <w:u w:val="single"/>
          <w:lang w:val="en-US" w:eastAsia="zh-CN"/>
        </w:rPr>
        <w:t>执行《通用条款》和本合同有关条款，以及国家、省、市、区各级主管部门关于安全防护、文明施工、扬尘治理、治污减霾等有关规定，承包人按建设行政主管部门和相关部门的规定办理执行，所需费用由承包人负担。施工现场应达到市级文明工地标准，移交时工程的清洁卫生应符合标准。竣工后3日内，承包人负责搬走其所有材料设备，施工场地清理平整，否则每拖延1天，违约金人民币2000元。发包人进行不定期安全文明施工检查（每月至少一次），未达到市级文明工地标准的，每次违约金2000元。</w:t>
      </w:r>
    </w:p>
    <w:p w14:paraId="71B11C0B">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6.1.4 关于治安保卫的特别约定：</w:t>
      </w:r>
      <w:r>
        <w:rPr>
          <w:rFonts w:hint="eastAsia" w:ascii="宋体" w:hAnsi="宋体" w:eastAsia="宋体" w:cs="宋体"/>
          <w:color w:val="auto"/>
          <w:sz w:val="24"/>
          <w:szCs w:val="24"/>
          <w:highlight w:val="none"/>
          <w:u w:val="single"/>
          <w:lang w:val="en-US" w:eastAsia="zh-CN"/>
        </w:rPr>
        <w:t>承包人应编制施工场地治安管理计划，并制定应对突发治安事件的紧急预案。</w:t>
      </w:r>
    </w:p>
    <w:p w14:paraId="179F59E0">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关于编制施工场地治安管理计划的约定：</w:t>
      </w:r>
      <w:r>
        <w:rPr>
          <w:rFonts w:hint="eastAsia" w:ascii="宋体" w:hAnsi="宋体" w:eastAsia="宋体" w:cs="宋体"/>
          <w:color w:val="auto"/>
          <w:sz w:val="24"/>
          <w:szCs w:val="24"/>
          <w:highlight w:val="none"/>
          <w:u w:val="single"/>
        </w:rPr>
        <w:t>工程开工后3日内</w:t>
      </w:r>
      <w:r>
        <w:rPr>
          <w:rFonts w:hint="eastAsia" w:ascii="宋体" w:hAnsi="宋体" w:eastAsia="宋体" w:cs="宋体"/>
          <w:color w:val="auto"/>
          <w:sz w:val="24"/>
          <w:szCs w:val="24"/>
          <w:highlight w:val="none"/>
        </w:rPr>
        <w:t>。</w:t>
      </w:r>
    </w:p>
    <w:p w14:paraId="054EA54D">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文明施工</w:t>
      </w:r>
    </w:p>
    <w:p w14:paraId="49F77809">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合同当事人对文明施工的要求：</w:t>
      </w:r>
      <w:r>
        <w:rPr>
          <w:rFonts w:hint="eastAsia" w:ascii="宋体" w:hAnsi="宋体" w:eastAsia="宋体" w:cs="宋体"/>
          <w:color w:val="auto"/>
          <w:sz w:val="24"/>
          <w:szCs w:val="24"/>
          <w:highlight w:val="none"/>
          <w:u w:val="single"/>
        </w:rPr>
        <w:t>执行《通用条款》第6条全部条款和国家、省、市关于安全文明施工的要求规定。</w:t>
      </w:r>
    </w:p>
    <w:p w14:paraId="7C167A19">
      <w:pPr>
        <w:keepLines w:val="0"/>
        <w:pageBreakBefore w:val="0"/>
        <w:shd w:val="clear" w:color="auto" w:fill="auto"/>
        <w:kinsoku/>
        <w:wordWrap/>
        <w:overflowPunct/>
        <w:topLinePunct w:val="0"/>
        <w:bidi w:val="0"/>
        <w:snapToGrid/>
        <w:spacing w:line="360" w:lineRule="auto"/>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关于安全文明施工费支付比例和支付期限的约定：</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bookmarkEnd w:id="123"/>
    <w:bookmarkEnd w:id="124"/>
    <w:bookmarkEnd w:id="125"/>
    <w:bookmarkEnd w:id="126"/>
    <w:bookmarkEnd w:id="127"/>
    <w:bookmarkEnd w:id="128"/>
    <w:bookmarkEnd w:id="129"/>
    <w:p w14:paraId="5394FC92">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lang w:val="en-US" w:eastAsia="zh-CN"/>
        </w:rPr>
      </w:pPr>
      <w:bookmarkStart w:id="131" w:name="_Toc351203639"/>
      <w:r>
        <w:rPr>
          <w:rFonts w:hint="eastAsia" w:ascii="宋体" w:hAnsi="宋体" w:eastAsia="宋体" w:cs="宋体"/>
          <w:color w:val="auto"/>
          <w:sz w:val="24"/>
          <w:szCs w:val="24"/>
          <w:highlight w:val="none"/>
          <w:lang w:val="en-US" w:eastAsia="zh-CN"/>
        </w:rPr>
        <w:t>7. 工期和进度</w:t>
      </w:r>
      <w:bookmarkEnd w:id="131"/>
    </w:p>
    <w:p w14:paraId="6944D50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 施工组织设计</w:t>
      </w:r>
    </w:p>
    <w:p w14:paraId="34FCC808">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7.1.1 合同当事人约定的施工组织设计应包括的其他内容：</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w:t>
      </w:r>
    </w:p>
    <w:p w14:paraId="5AF6B6F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7.1.2 施工组织设计的提交和修改</w:t>
      </w:r>
    </w:p>
    <w:p w14:paraId="6CF82170">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承包人提交详细施工组织设计的期限的约定：</w:t>
      </w:r>
      <w:r>
        <w:rPr>
          <w:rFonts w:hint="eastAsia" w:ascii="宋体" w:hAnsi="宋体" w:eastAsia="宋体" w:cs="宋体"/>
          <w:color w:val="auto"/>
          <w:kern w:val="0"/>
          <w:sz w:val="24"/>
          <w:szCs w:val="24"/>
          <w:highlight w:val="none"/>
          <w:u w:val="single"/>
        </w:rPr>
        <w:t>开工后三天内</w:t>
      </w:r>
      <w:r>
        <w:rPr>
          <w:rFonts w:hint="eastAsia" w:ascii="宋体" w:hAnsi="宋体" w:eastAsia="宋体" w:cs="宋体"/>
          <w:color w:val="auto"/>
          <w:sz w:val="24"/>
          <w:szCs w:val="24"/>
          <w:highlight w:val="none"/>
        </w:rPr>
        <w:t>。</w:t>
      </w:r>
    </w:p>
    <w:p w14:paraId="2D5D73AB">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发包人和监理人在收到详细的施工组织设计后确认或提出修改意见的期限：</w:t>
      </w:r>
      <w:r>
        <w:rPr>
          <w:rFonts w:hint="eastAsia" w:ascii="宋体" w:hAnsi="宋体" w:eastAsia="宋体" w:cs="宋体"/>
          <w:color w:val="auto"/>
          <w:sz w:val="24"/>
          <w:szCs w:val="24"/>
          <w:highlight w:val="none"/>
          <w:u w:val="single"/>
        </w:rPr>
        <w:t>三天内</w:t>
      </w:r>
      <w:r>
        <w:rPr>
          <w:rFonts w:hint="eastAsia" w:ascii="宋体" w:hAnsi="宋体" w:eastAsia="宋体" w:cs="宋体"/>
          <w:color w:val="auto"/>
          <w:sz w:val="24"/>
          <w:szCs w:val="24"/>
          <w:highlight w:val="none"/>
        </w:rPr>
        <w:t>。</w:t>
      </w:r>
    </w:p>
    <w:p w14:paraId="3DF6C6C4">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32" w:name="_Toc304295541"/>
      <w:bookmarkStart w:id="133" w:name="_Toc297216173"/>
      <w:bookmarkStart w:id="134" w:name="_Toc303539123"/>
      <w:bookmarkStart w:id="135" w:name="_Toc312677479"/>
      <w:bookmarkStart w:id="136" w:name="_Toc300934966"/>
      <w:bookmarkStart w:id="137" w:name="_Toc312678005"/>
      <w:bookmarkStart w:id="138" w:name="_Toc297123514"/>
      <w:r>
        <w:rPr>
          <w:rFonts w:hint="eastAsia" w:ascii="宋体" w:hAnsi="宋体" w:eastAsia="宋体" w:cs="宋体"/>
          <w:color w:val="auto"/>
          <w:sz w:val="24"/>
          <w:szCs w:val="24"/>
          <w:highlight w:val="none"/>
        </w:rPr>
        <w:t>.2 施工进度计划</w:t>
      </w:r>
    </w:p>
    <w:p w14:paraId="10B3F273">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7.2.2 施工进度计划的修订</w:t>
      </w:r>
    </w:p>
    <w:p w14:paraId="09D20683">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发包人和监理人在收到修订的施工进度计划后确认或提出修改意见的期限：</w:t>
      </w:r>
      <w:r>
        <w:rPr>
          <w:rFonts w:hint="eastAsia" w:ascii="宋体" w:hAnsi="宋体" w:eastAsia="宋体" w:cs="宋体"/>
          <w:color w:val="auto"/>
          <w:sz w:val="24"/>
          <w:szCs w:val="24"/>
          <w:highlight w:val="none"/>
          <w:u w:val="single"/>
        </w:rPr>
        <w:t>（1）开工后五天内承包人须向发包人和监理单位提供施工组织设计壹式伍份。（2）每月25日，须提供下月施工进度计划表壹式伍份。</w:t>
      </w:r>
    </w:p>
    <w:p w14:paraId="6E89C850">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开工</w:t>
      </w:r>
    </w:p>
    <w:p w14:paraId="7B96DE0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开工准备</w:t>
      </w:r>
    </w:p>
    <w:p w14:paraId="5893CC5D">
      <w:pPr>
        <w:keepLines w:val="0"/>
        <w:pageBreakBefore w:val="0"/>
        <w:shd w:val="clear" w:color="auto" w:fill="auto"/>
        <w:kinsoku/>
        <w:wordWrap/>
        <w:overflowPunct/>
        <w:topLinePunct w:val="0"/>
        <w:bidi w:val="0"/>
        <w:snapToGrid/>
        <w:spacing w:line="360" w:lineRule="auto"/>
        <w:ind w:firstLine="645"/>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关于承包人提交</w:t>
      </w:r>
      <w:r>
        <w:rPr>
          <w:rFonts w:hint="eastAsia" w:ascii="宋体" w:hAnsi="宋体" w:eastAsia="宋体" w:cs="宋体"/>
          <w:color w:val="auto"/>
          <w:kern w:val="0"/>
          <w:sz w:val="24"/>
          <w:szCs w:val="24"/>
          <w:highlight w:val="none"/>
        </w:rPr>
        <w:t>工程开工报审表的期限：</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sz w:val="24"/>
          <w:szCs w:val="24"/>
          <w:highlight w:val="none"/>
        </w:rPr>
        <w:t>。</w:t>
      </w:r>
    </w:p>
    <w:p w14:paraId="4AF56C89">
      <w:pPr>
        <w:keepLines w:val="0"/>
        <w:pageBreakBefore w:val="0"/>
        <w:shd w:val="clear" w:color="auto" w:fill="auto"/>
        <w:kinsoku/>
        <w:wordWrap/>
        <w:overflowPunct/>
        <w:topLinePunct w:val="0"/>
        <w:bidi w:val="0"/>
        <w:snapToGrid/>
        <w:spacing w:line="360" w:lineRule="auto"/>
        <w:ind w:firstLine="645"/>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关于发包人应完成的其他开工准备工作及期限：</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3C5443E9">
      <w:pPr>
        <w:keepLines w:val="0"/>
        <w:pageBreakBefore w:val="0"/>
        <w:shd w:val="clear" w:color="auto" w:fill="auto"/>
        <w:kinsoku/>
        <w:wordWrap/>
        <w:overflowPunct/>
        <w:topLinePunct w:val="0"/>
        <w:bidi w:val="0"/>
        <w:snapToGrid/>
        <w:spacing w:line="360" w:lineRule="auto"/>
        <w:ind w:firstLine="645"/>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关于承包人应完成的其他开工准备工作及期限：</w:t>
      </w:r>
      <w:r>
        <w:rPr>
          <w:rFonts w:hint="eastAsia" w:ascii="宋体" w:hAnsi="宋体" w:eastAsia="宋体" w:cs="宋体"/>
          <w:color w:val="auto"/>
          <w:sz w:val="24"/>
          <w:szCs w:val="24"/>
          <w:highlight w:val="none"/>
          <w:u w:val="single"/>
        </w:rPr>
        <w:t>开工前三天</w:t>
      </w:r>
      <w:r>
        <w:rPr>
          <w:rFonts w:hint="eastAsia" w:ascii="宋体" w:hAnsi="宋体" w:eastAsia="宋体" w:cs="宋体"/>
          <w:color w:val="auto"/>
          <w:sz w:val="24"/>
          <w:szCs w:val="24"/>
          <w:highlight w:val="none"/>
        </w:rPr>
        <w:t>。</w:t>
      </w:r>
    </w:p>
    <w:p w14:paraId="6B0C3312">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7.3.2开工通知</w:t>
      </w:r>
    </w:p>
    <w:p w14:paraId="50F29017">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因发包人原因造成监理人未能在计划开工日期之日起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天内发出开工通知的，承包人有权提出价格调整要求，或者解除合同。</w:t>
      </w:r>
    </w:p>
    <w:bookmarkEnd w:id="132"/>
    <w:bookmarkEnd w:id="133"/>
    <w:bookmarkEnd w:id="134"/>
    <w:bookmarkEnd w:id="135"/>
    <w:bookmarkEnd w:id="136"/>
    <w:bookmarkEnd w:id="137"/>
    <w:bookmarkEnd w:id="138"/>
    <w:p w14:paraId="4410534D">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测量放线</w:t>
      </w:r>
    </w:p>
    <w:p w14:paraId="17E10633">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7.4.1发包人通过监理人向承包人提供测量基准点、基准线和水准点及其书面资料的期限：</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5AB82EF0">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39" w:name="_Toc300934968"/>
      <w:bookmarkStart w:id="140" w:name="_Toc312678010"/>
      <w:bookmarkStart w:id="141" w:name="_Toc304295546"/>
      <w:bookmarkStart w:id="142" w:name="_Toc303539125"/>
      <w:bookmarkStart w:id="143" w:name="_Toc312677484"/>
      <w:bookmarkStart w:id="144" w:name="_Toc297123516"/>
      <w:bookmarkStart w:id="145" w:name="_Toc297216175"/>
      <w:r>
        <w:rPr>
          <w:rFonts w:hint="eastAsia" w:ascii="宋体" w:hAnsi="宋体" w:eastAsia="宋体" w:cs="宋体"/>
          <w:color w:val="auto"/>
          <w:sz w:val="24"/>
          <w:szCs w:val="24"/>
          <w:highlight w:val="none"/>
        </w:rPr>
        <w:t>.5 工期延误</w:t>
      </w:r>
    </w:p>
    <w:bookmarkEnd w:id="139"/>
    <w:bookmarkEnd w:id="140"/>
    <w:bookmarkEnd w:id="141"/>
    <w:bookmarkEnd w:id="142"/>
    <w:bookmarkEnd w:id="143"/>
    <w:bookmarkEnd w:id="144"/>
    <w:bookmarkEnd w:id="145"/>
    <w:p w14:paraId="6BD1018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7.5.1 因发包人原因导致工期延误</w:t>
      </w:r>
    </w:p>
    <w:p w14:paraId="1ACC35F8">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（7）因发包人原因导致工期延误的其他情形：</w:t>
      </w:r>
      <w:r>
        <w:rPr>
          <w:rFonts w:hint="eastAsia" w:ascii="宋体" w:hAnsi="宋体" w:eastAsia="宋体" w:cs="宋体"/>
          <w:color w:val="auto"/>
          <w:sz w:val="24"/>
          <w:szCs w:val="24"/>
          <w:highlight w:val="none"/>
          <w:u w:val="single"/>
        </w:rPr>
        <w:t>（1）若发包人连续停电、停水在8小时以内且未对施工造成影响，不顺延工期。如每周累计停电、停水8小时以上，且给承包人施工造成实质性延误的，经发包人和监理单位确认后工期予以顺延。其它关于工期顺延的约定按通用条款执行。（2）在施工过程中因设计变更引起承包人不能正常施工，承包人应随时进行工种调整，不计取误工费，经发包人和监理单位确认后工期顺延。（3）施工中遇到不可预见的障碍物或古墓、文物需处理；外部干扰无法施工，经发包人和监理单位确认后工期顺延。</w:t>
      </w:r>
    </w:p>
    <w:p w14:paraId="5566FCD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46" w:name="_Toc312678012"/>
      <w:bookmarkStart w:id="147" w:name="_Toc312677486"/>
      <w:bookmarkStart w:id="148" w:name="_Toc318581169"/>
      <w:bookmarkStart w:id="149" w:name="_Toc303539127"/>
      <w:bookmarkStart w:id="150" w:name="_Toc297216177"/>
      <w:bookmarkStart w:id="151" w:name="_Toc300934970"/>
      <w:bookmarkStart w:id="152" w:name="_Toc304295548"/>
      <w:bookmarkStart w:id="153" w:name="_Toc297123518"/>
      <w:r>
        <w:rPr>
          <w:rFonts w:hint="eastAsia" w:ascii="宋体" w:hAnsi="宋体" w:eastAsia="宋体" w:cs="宋体"/>
          <w:color w:val="auto"/>
          <w:sz w:val="24"/>
          <w:szCs w:val="24"/>
          <w:highlight w:val="none"/>
        </w:rPr>
        <w:t>.5.2 因承包人原因导致工期延误</w:t>
      </w:r>
      <w:bookmarkEnd w:id="146"/>
      <w:bookmarkEnd w:id="147"/>
      <w:bookmarkEnd w:id="148"/>
    </w:p>
    <w:p w14:paraId="55A4EAA0">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w:t>
      </w:r>
      <w:bookmarkStart w:id="154" w:name="_Toc312678013"/>
      <w:bookmarkStart w:id="155" w:name="_Toc312677487"/>
      <w:bookmarkStart w:id="156" w:name="_Toc318581170"/>
      <w:r>
        <w:rPr>
          <w:rFonts w:hint="eastAsia" w:ascii="宋体" w:hAnsi="宋体" w:eastAsia="宋体" w:cs="宋体"/>
          <w:color w:val="auto"/>
          <w:sz w:val="24"/>
          <w:szCs w:val="24"/>
          <w:highlight w:val="none"/>
        </w:rPr>
        <w:t>承包人原因造成工期延误，逾期竣工违约金的计算方法为：</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bookmarkEnd w:id="149"/>
      <w:bookmarkEnd w:id="150"/>
      <w:bookmarkEnd w:id="151"/>
      <w:bookmarkEnd w:id="152"/>
      <w:bookmarkEnd w:id="153"/>
      <w:bookmarkEnd w:id="154"/>
      <w:bookmarkEnd w:id="155"/>
      <w:bookmarkEnd w:id="156"/>
    </w:p>
    <w:p w14:paraId="3AB07599">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因承包人原因造成工期延误，逾</w:t>
      </w:r>
      <w:bookmarkStart w:id="157" w:name="_Toc318581171"/>
      <w:bookmarkStart w:id="158" w:name="_Toc312678014"/>
      <w:r>
        <w:rPr>
          <w:rFonts w:hint="eastAsia" w:ascii="宋体" w:hAnsi="宋体" w:eastAsia="宋体" w:cs="宋体"/>
          <w:color w:val="auto"/>
          <w:sz w:val="24"/>
          <w:szCs w:val="24"/>
          <w:highlight w:val="none"/>
        </w:rPr>
        <w:t>期竣工违约金的上限</w:t>
      </w:r>
      <w:r>
        <w:rPr>
          <w:rFonts w:hint="eastAsia" w:ascii="宋体" w:hAnsi="宋体" w:eastAsia="宋体" w:cs="宋体"/>
          <w:color w:val="auto"/>
          <w:sz w:val="24"/>
          <w:szCs w:val="24"/>
          <w:highlight w:val="none"/>
          <w:u w:val="single"/>
        </w:rPr>
        <w:t>：不设上限</w:t>
      </w:r>
      <w:r>
        <w:rPr>
          <w:rFonts w:hint="eastAsia" w:ascii="宋体" w:hAnsi="宋体" w:eastAsia="宋体" w:cs="宋体"/>
          <w:color w:val="auto"/>
          <w:sz w:val="24"/>
          <w:szCs w:val="24"/>
          <w:highlight w:val="none"/>
        </w:rPr>
        <w:t>。</w:t>
      </w:r>
    </w:p>
    <w:bookmarkEnd w:id="157"/>
    <w:bookmarkEnd w:id="158"/>
    <w:p w14:paraId="0F596967">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59" w:name="_Toc300934971"/>
      <w:bookmarkStart w:id="160" w:name="_Toc297123519"/>
      <w:bookmarkStart w:id="161" w:name="_Toc303539128"/>
      <w:bookmarkStart w:id="162" w:name="_Toc312678015"/>
      <w:bookmarkStart w:id="163" w:name="_Toc297216178"/>
      <w:bookmarkStart w:id="164" w:name="_Toc304295549"/>
      <w:r>
        <w:rPr>
          <w:rFonts w:hint="eastAsia" w:ascii="宋体" w:hAnsi="宋体" w:eastAsia="宋体" w:cs="宋体"/>
          <w:color w:val="auto"/>
          <w:sz w:val="24"/>
          <w:szCs w:val="24"/>
          <w:highlight w:val="none"/>
        </w:rPr>
        <w:t>.6 不</w:t>
      </w:r>
      <w:bookmarkEnd w:id="159"/>
      <w:bookmarkEnd w:id="160"/>
      <w:bookmarkEnd w:id="161"/>
      <w:bookmarkEnd w:id="162"/>
      <w:bookmarkEnd w:id="163"/>
      <w:bookmarkEnd w:id="164"/>
      <w:r>
        <w:rPr>
          <w:rFonts w:hint="eastAsia" w:ascii="宋体" w:hAnsi="宋体" w:eastAsia="宋体" w:cs="宋体"/>
          <w:color w:val="auto"/>
          <w:sz w:val="24"/>
          <w:szCs w:val="24"/>
          <w:highlight w:val="none"/>
        </w:rPr>
        <w:t>利物质条件</w:t>
      </w:r>
      <w:bookmarkStart w:id="165" w:name="_Toc318581172"/>
      <w:bookmarkStart w:id="166" w:name="_Toc303539129"/>
      <w:bookmarkStart w:id="167" w:name="_Toc300934972"/>
      <w:bookmarkStart w:id="168" w:name="_Toc297216179"/>
      <w:bookmarkStart w:id="169" w:name="_Toc312678016"/>
      <w:bookmarkStart w:id="170" w:name="_Toc297123520"/>
      <w:bookmarkStart w:id="171" w:name="_Toc304295550"/>
    </w:p>
    <w:p w14:paraId="46F92526">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不利物质条件的其他情形和有关约定：</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bookmarkEnd w:id="165"/>
    <w:bookmarkEnd w:id="166"/>
    <w:bookmarkEnd w:id="167"/>
    <w:bookmarkEnd w:id="168"/>
    <w:bookmarkEnd w:id="169"/>
    <w:bookmarkEnd w:id="170"/>
    <w:bookmarkEnd w:id="171"/>
    <w:p w14:paraId="17EB0F50">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172" w:name="_Toc312678017"/>
      <w:bookmarkStart w:id="173" w:name="_Toc300934973"/>
      <w:bookmarkStart w:id="174" w:name="_Toc297216180"/>
      <w:bookmarkStart w:id="175" w:name="_Toc297123521"/>
      <w:bookmarkStart w:id="176" w:name="_Toc304295551"/>
      <w:bookmarkStart w:id="177" w:name="_Toc303539130"/>
      <w:r>
        <w:rPr>
          <w:rFonts w:hint="eastAsia" w:ascii="宋体" w:hAnsi="宋体" w:eastAsia="宋体" w:cs="宋体"/>
          <w:color w:val="auto"/>
          <w:sz w:val="24"/>
          <w:szCs w:val="24"/>
          <w:highlight w:val="none"/>
        </w:rPr>
        <w:t>.7异常恶劣的气候条件</w:t>
      </w:r>
    </w:p>
    <w:bookmarkEnd w:id="172"/>
    <w:bookmarkEnd w:id="173"/>
    <w:bookmarkEnd w:id="174"/>
    <w:bookmarkEnd w:id="175"/>
    <w:bookmarkEnd w:id="176"/>
    <w:bookmarkEnd w:id="177"/>
    <w:p w14:paraId="3F67E348">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发包人和承包人同意以下情形视为异常恶劣的气候条件：</w:t>
      </w:r>
    </w:p>
    <w:p w14:paraId="3378416A">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B5253F4">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F5CC95">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11E180">
      <w:pPr>
        <w:keepNext w:val="0"/>
        <w:keepLines w:val="0"/>
        <w:pageBreakBefore w:val="0"/>
        <w:widowControl w:val="0"/>
        <w:shd w:val="clear" w:color="auto" w:fill="auto"/>
        <w:kinsoku/>
        <w:wordWrap/>
        <w:overflowPunct/>
        <w:topLinePunct w:val="0"/>
        <w:autoSpaceDE/>
        <w:autoSpaceDN/>
        <w:bidi w:val="0"/>
        <w:adjustRightInd/>
        <w:snapToGrid/>
        <w:spacing w:after="12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 提前竣工的奖励</w:t>
      </w:r>
    </w:p>
    <w:p w14:paraId="30A5BE7C">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7.9.2提前竣工的奖励：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E6BBA37">
      <w:pPr>
        <w:keepNext w:val="0"/>
        <w:keepLines w:val="0"/>
        <w:pageBreakBefore w:val="0"/>
        <w:widowControl w:val="0"/>
        <w:shd w:val="clear" w:color="auto" w:fill="auto"/>
        <w:kinsoku/>
        <w:wordWrap/>
        <w:overflowPunct/>
        <w:topLinePunct w:val="0"/>
        <w:autoSpaceDE/>
        <w:autoSpaceDN/>
        <w:bidi w:val="0"/>
        <w:adjustRightInd/>
        <w:snapToGrid/>
        <w:spacing w:after="120" w:line="360" w:lineRule="auto"/>
        <w:ind w:firstLine="480" w:firstLineChars="200"/>
        <w:textAlignment w:val="auto"/>
        <w:outlineLvl w:val="9"/>
        <w:rPr>
          <w:rFonts w:hint="eastAsia" w:ascii="宋体" w:hAnsi="宋体" w:eastAsia="宋体" w:cs="宋体"/>
          <w:color w:val="auto"/>
          <w:sz w:val="24"/>
          <w:szCs w:val="24"/>
          <w:highlight w:val="none"/>
        </w:rPr>
      </w:pPr>
      <w:bookmarkStart w:id="178" w:name="_Toc351203640"/>
      <w:r>
        <w:rPr>
          <w:rFonts w:hint="eastAsia" w:ascii="宋体" w:hAnsi="宋体" w:eastAsia="宋体" w:cs="宋体"/>
          <w:color w:val="auto"/>
          <w:sz w:val="24"/>
          <w:szCs w:val="24"/>
          <w:highlight w:val="none"/>
        </w:rPr>
        <w:t>8. 材料与设备</w:t>
      </w:r>
      <w:bookmarkEnd w:id="178"/>
    </w:p>
    <w:bookmarkEnd w:id="113"/>
    <w:bookmarkEnd w:id="114"/>
    <w:bookmarkEnd w:id="115"/>
    <w:bookmarkEnd w:id="116"/>
    <w:bookmarkEnd w:id="117"/>
    <w:bookmarkEnd w:id="118"/>
    <w:bookmarkEnd w:id="119"/>
    <w:bookmarkEnd w:id="120"/>
    <w:bookmarkEnd w:id="121"/>
    <w:bookmarkEnd w:id="122"/>
    <w:p w14:paraId="4D562F82">
      <w:pPr>
        <w:keepNext w:val="0"/>
        <w:keepLines w:val="0"/>
        <w:pageBreakBefore w:val="0"/>
        <w:widowControl w:val="0"/>
        <w:shd w:val="clear" w:color="auto" w:fill="auto"/>
        <w:kinsoku/>
        <w:wordWrap/>
        <w:overflowPunct/>
        <w:topLinePunct w:val="0"/>
        <w:autoSpaceDE/>
        <w:autoSpaceDN/>
        <w:bidi w:val="0"/>
        <w:adjustRightInd/>
        <w:snapToGrid/>
        <w:spacing w:after="12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179" w:name="_Toc296891207"/>
      <w:bookmarkStart w:id="180" w:name="_Toc312677493"/>
      <w:bookmarkStart w:id="181" w:name="_Toc296503167"/>
      <w:bookmarkStart w:id="182" w:name="_Toc296347166"/>
      <w:bookmarkStart w:id="183" w:name="_Toc297216186"/>
      <w:bookmarkStart w:id="184" w:name="_Toc296890995"/>
      <w:bookmarkStart w:id="185" w:name="_Toc292559877"/>
      <w:bookmarkStart w:id="186" w:name="_Toc297120467"/>
      <w:bookmarkStart w:id="187" w:name="_Toc292559372"/>
      <w:bookmarkStart w:id="188" w:name="_Toc296944506"/>
      <w:bookmarkStart w:id="189" w:name="_Toc312678019"/>
      <w:bookmarkStart w:id="190" w:name="_Toc304295556"/>
      <w:bookmarkStart w:id="191" w:name="_Toc297048353"/>
      <w:bookmarkStart w:id="192" w:name="_Toc296346668"/>
      <w:bookmarkStart w:id="193" w:name="_Toc303539136"/>
      <w:bookmarkStart w:id="194" w:name="_Toc280868654"/>
      <w:bookmarkStart w:id="195" w:name="_Toc300934979"/>
      <w:bookmarkStart w:id="196" w:name="_Toc297123527"/>
      <w:bookmarkStart w:id="197" w:name="_Toc280868656"/>
      <w:bookmarkStart w:id="198" w:name="_Toc280868655"/>
      <w:bookmarkStart w:id="199" w:name="_Toc267251424"/>
      <w:r>
        <w:rPr>
          <w:rFonts w:hint="eastAsia" w:ascii="宋体" w:hAnsi="宋体" w:eastAsia="宋体" w:cs="宋体"/>
          <w:color w:val="auto"/>
          <w:sz w:val="24"/>
          <w:szCs w:val="24"/>
          <w:highlight w:val="none"/>
        </w:rPr>
        <w:t>.4材料与工程设备的保管与使用</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E5B712B">
      <w:pPr>
        <w:keepNext w:val="0"/>
        <w:keepLines w:val="0"/>
        <w:pageBreakBefore w:val="0"/>
        <w:widowControl w:val="0"/>
        <w:shd w:val="clear" w:color="auto" w:fill="auto"/>
        <w:kinsoku/>
        <w:wordWrap/>
        <w:overflowPunct/>
        <w:topLinePunct w:val="0"/>
        <w:autoSpaceDE/>
        <w:autoSpaceDN/>
        <w:bidi w:val="0"/>
        <w:adjustRightInd/>
        <w:snapToGrid/>
        <w:spacing w:after="120"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bookmarkStart w:id="200" w:name="_Toc292559373"/>
      <w:bookmarkStart w:id="201" w:name="_Toc292559878"/>
      <w:bookmarkStart w:id="202" w:name="_Toc312678020"/>
      <w:bookmarkStart w:id="203" w:name="_Toc296503168"/>
      <w:bookmarkStart w:id="204" w:name="_Toc318581173"/>
      <w:bookmarkStart w:id="205" w:name="_Toc297123528"/>
      <w:bookmarkStart w:id="206" w:name="_Toc296890996"/>
      <w:bookmarkStart w:id="207" w:name="_Toc300934980"/>
      <w:bookmarkStart w:id="208" w:name="_Toc297120468"/>
      <w:bookmarkStart w:id="209" w:name="_Toc296891208"/>
      <w:bookmarkStart w:id="210" w:name="_Toc312677494"/>
      <w:bookmarkStart w:id="211" w:name="_Toc296346669"/>
      <w:bookmarkStart w:id="212" w:name="_Toc296944507"/>
      <w:bookmarkStart w:id="213" w:name="_Toc296347167"/>
      <w:bookmarkStart w:id="214" w:name="_Toc303539137"/>
      <w:bookmarkStart w:id="215" w:name="_Toc297048354"/>
      <w:bookmarkStart w:id="216" w:name="_Toc297216187"/>
      <w:bookmarkStart w:id="217" w:name="_Toc304295557"/>
      <w:r>
        <w:rPr>
          <w:rFonts w:hint="eastAsia" w:ascii="宋体" w:hAnsi="宋体" w:eastAsia="宋体" w:cs="宋体"/>
          <w:color w:val="auto"/>
          <w:sz w:val="24"/>
          <w:szCs w:val="24"/>
          <w:highlight w:val="none"/>
        </w:rPr>
        <w:t>.4.1发包人供应的材料设备的保管费用的承担：</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bookmarkEnd w:id="200"/>
      <w:bookmarkEnd w:id="201"/>
    </w:p>
    <w:p w14:paraId="3C305458">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8.6 样品</w:t>
      </w:r>
    </w:p>
    <w:p w14:paraId="38018AA3">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8.6.1</w:t>
      </w:r>
      <w:r>
        <w:rPr>
          <w:rFonts w:hint="eastAsia" w:ascii="宋体" w:hAnsi="宋体" w:eastAsia="宋体" w:cs="宋体"/>
          <w:color w:val="auto"/>
          <w:kern w:val="0"/>
          <w:sz w:val="24"/>
          <w:szCs w:val="24"/>
          <w:highlight w:val="none"/>
        </w:rPr>
        <w:tab/>
      </w:r>
      <w:r>
        <w:rPr>
          <w:rFonts w:hint="eastAsia" w:ascii="宋体" w:hAnsi="宋体" w:eastAsia="宋体" w:cs="宋体"/>
          <w:color w:val="auto"/>
          <w:kern w:val="0"/>
          <w:sz w:val="24"/>
          <w:szCs w:val="24"/>
          <w:highlight w:val="none"/>
        </w:rPr>
        <w:t>样品的报送与封存</w:t>
      </w:r>
    </w:p>
    <w:p w14:paraId="2904371B">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需要承包人报送样品的材料或工程设备，样品的种类、名称、规格、数量要求：</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9234B8">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 施工设备和临时设施</w:t>
      </w:r>
    </w:p>
    <w:p w14:paraId="33ED3990">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8.8.1 承包人提供的施工设备和临时设施</w:t>
      </w:r>
    </w:p>
    <w:p w14:paraId="654F427B">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关于修建临时设施费用承担的约定：</w:t>
      </w:r>
      <w:r>
        <w:rPr>
          <w:rFonts w:hint="eastAsia" w:ascii="宋体" w:hAnsi="宋体" w:eastAsia="宋体" w:cs="宋体"/>
          <w:color w:val="auto"/>
          <w:sz w:val="24"/>
          <w:szCs w:val="24"/>
          <w:highlight w:val="none"/>
          <w:u w:val="single"/>
        </w:rPr>
        <w:t>关于修建临时设施费用承担的约定：负责工地现场临时设施、道路、管线的施工和保养（包括标段范围内的沉淀池、临时排水设施、化粪池的清理和修补等，其费用已包含在合同价款中），从发包人指定的水电接驳点接驳施工用水用电，采取措施避免工程施工对红线周围地下管线、临近建筑物及市政设施造成破坏，变压器的看管等，以上费用均由承包人负责</w:t>
      </w:r>
      <w:r>
        <w:rPr>
          <w:rFonts w:hint="eastAsia" w:ascii="宋体" w:hAnsi="宋体" w:eastAsia="宋体" w:cs="宋体"/>
          <w:color w:val="auto"/>
          <w:sz w:val="24"/>
          <w:szCs w:val="24"/>
          <w:highlight w:val="none"/>
        </w:rPr>
        <w:t>。</w:t>
      </w: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14:paraId="5D28F00A">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bookmarkStart w:id="218" w:name="_Toc351203641"/>
      <w:r>
        <w:rPr>
          <w:rFonts w:hint="eastAsia" w:ascii="宋体" w:hAnsi="宋体" w:eastAsia="宋体" w:cs="宋体"/>
          <w:color w:val="auto"/>
          <w:sz w:val="24"/>
          <w:szCs w:val="24"/>
          <w:highlight w:val="none"/>
        </w:rPr>
        <w:t>9</w:t>
      </w:r>
      <w:bookmarkEnd w:id="197"/>
      <w:bookmarkEnd w:id="198"/>
      <w:bookmarkEnd w:id="199"/>
      <w:bookmarkStart w:id="219" w:name="_Toc297216192"/>
      <w:bookmarkStart w:id="220" w:name="_Toc312678021"/>
      <w:bookmarkStart w:id="221" w:name="_Toc304295559"/>
      <w:bookmarkStart w:id="222" w:name="_Toc312677495"/>
      <w:bookmarkStart w:id="223" w:name="_Toc297123533"/>
      <w:bookmarkStart w:id="224" w:name="_Toc300934982"/>
      <w:bookmarkStart w:id="225" w:name="_Toc303539139"/>
      <w:bookmarkStart w:id="226" w:name="_Toc292559378"/>
      <w:bookmarkStart w:id="227" w:name="_Toc296944512"/>
      <w:bookmarkStart w:id="228" w:name="_Toc267251427"/>
      <w:bookmarkStart w:id="229" w:name="_Toc296347172"/>
      <w:bookmarkStart w:id="230" w:name="_Toc297048359"/>
      <w:bookmarkStart w:id="231" w:name="_Toc296891001"/>
      <w:bookmarkStart w:id="232" w:name="_Toc296503173"/>
      <w:bookmarkStart w:id="233" w:name="_Toc292559883"/>
      <w:bookmarkStart w:id="234" w:name="_Toc296891213"/>
      <w:bookmarkStart w:id="235" w:name="_Toc267251428"/>
      <w:bookmarkStart w:id="236" w:name="_Toc297120473"/>
      <w:bookmarkStart w:id="237" w:name="_Toc296346674"/>
      <w:r>
        <w:rPr>
          <w:rFonts w:hint="eastAsia" w:ascii="宋体" w:hAnsi="宋体" w:eastAsia="宋体" w:cs="宋体"/>
          <w:color w:val="auto"/>
          <w:sz w:val="24"/>
          <w:szCs w:val="24"/>
          <w:highlight w:val="none"/>
        </w:rPr>
        <w:t>. 试验与检验</w:t>
      </w:r>
      <w:bookmarkEnd w:id="218"/>
    </w:p>
    <w:bookmarkEnd w:id="219"/>
    <w:bookmarkEnd w:id="220"/>
    <w:bookmarkEnd w:id="221"/>
    <w:bookmarkEnd w:id="222"/>
    <w:bookmarkEnd w:id="223"/>
    <w:bookmarkEnd w:id="224"/>
    <w:bookmarkEnd w:id="225"/>
    <w:p w14:paraId="351105A2">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238" w:name="_Toc300934983"/>
      <w:bookmarkStart w:id="239" w:name="_Toc303539140"/>
      <w:bookmarkStart w:id="240" w:name="_Toc297216193"/>
      <w:bookmarkStart w:id="241" w:name="_Toc297123534"/>
      <w:bookmarkStart w:id="242" w:name="_Toc312678022"/>
      <w:bookmarkStart w:id="243" w:name="_Toc312677496"/>
      <w:bookmarkStart w:id="244" w:name="_Toc304295560"/>
      <w:r>
        <w:rPr>
          <w:rFonts w:hint="eastAsia" w:ascii="宋体" w:hAnsi="宋体" w:eastAsia="宋体" w:cs="宋体"/>
          <w:color w:val="auto"/>
          <w:sz w:val="24"/>
          <w:szCs w:val="24"/>
          <w:highlight w:val="none"/>
        </w:rPr>
        <w:t>.1试验设备与试验人员</w:t>
      </w:r>
    </w:p>
    <w:bookmarkEnd w:id="238"/>
    <w:bookmarkEnd w:id="239"/>
    <w:bookmarkEnd w:id="240"/>
    <w:bookmarkEnd w:id="241"/>
    <w:bookmarkEnd w:id="242"/>
    <w:bookmarkEnd w:id="243"/>
    <w:bookmarkEnd w:id="244"/>
    <w:p w14:paraId="384616EB">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bookmarkStart w:id="245" w:name="_Toc312678023"/>
      <w:bookmarkStart w:id="246" w:name="_Toc297123535"/>
      <w:bookmarkStart w:id="247" w:name="_Toc312677497"/>
      <w:bookmarkStart w:id="248" w:name="_Toc303539141"/>
      <w:bookmarkStart w:id="249" w:name="_Toc300934984"/>
      <w:bookmarkStart w:id="250" w:name="_Toc297216194"/>
      <w:bookmarkStart w:id="251" w:name="_Toc304295561"/>
      <w:bookmarkStart w:id="252" w:name="_Toc318581174"/>
      <w:r>
        <w:rPr>
          <w:rFonts w:hint="eastAsia" w:ascii="宋体" w:hAnsi="宋体" w:eastAsia="宋体" w:cs="宋体"/>
          <w:color w:val="auto"/>
          <w:sz w:val="24"/>
          <w:szCs w:val="24"/>
          <w:highlight w:val="none"/>
        </w:rPr>
        <w:t>.1.2 试验设备</w:t>
      </w:r>
    </w:p>
    <w:p w14:paraId="758D1750">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施工现场需要配置的试验场所：</w:t>
      </w:r>
      <w:bookmarkEnd w:id="245"/>
      <w:bookmarkEnd w:id="246"/>
      <w:bookmarkEnd w:id="247"/>
      <w:bookmarkEnd w:id="248"/>
      <w:bookmarkEnd w:id="249"/>
      <w:bookmarkEnd w:id="250"/>
      <w:bookmarkEnd w:id="251"/>
      <w:bookmarkStart w:id="253" w:name="_Toc300934985"/>
      <w:bookmarkStart w:id="254" w:name="_Toc304295562"/>
      <w:bookmarkStart w:id="255" w:name="_Toc312678024"/>
      <w:bookmarkStart w:id="256" w:name="_Toc312677498"/>
      <w:bookmarkStart w:id="257" w:name="_Toc303539142"/>
      <w:bookmarkStart w:id="258" w:name="_Toc297123536"/>
      <w:bookmarkStart w:id="259" w:name="_Toc297216195"/>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685B3D3">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施工现场需要配备的试验设备：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C3E4C8">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施工现场需要具备的其他试验条件：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5423BB7">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9.4 现场工艺试验 </w:t>
      </w:r>
    </w:p>
    <w:p w14:paraId="267BDCA8">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现场工艺试验的有关约定：</w:t>
      </w:r>
      <w:r>
        <w:rPr>
          <w:rFonts w:hint="eastAsia" w:ascii="宋体" w:hAnsi="宋体" w:eastAsia="宋体" w:cs="宋体"/>
          <w:color w:val="auto"/>
          <w:sz w:val="24"/>
          <w:szCs w:val="24"/>
          <w:highlight w:val="none"/>
          <w:u w:val="single"/>
          <w:lang w:val="en-US" w:eastAsia="zh-CN"/>
        </w:rPr>
        <w:t>无</w:t>
      </w:r>
      <w:r>
        <w:rPr>
          <w:rFonts w:hint="eastAsia" w:ascii="宋体" w:hAnsi="宋体" w:eastAsia="宋体" w:cs="宋体"/>
          <w:color w:val="auto"/>
          <w:sz w:val="24"/>
          <w:szCs w:val="24"/>
          <w:highlight w:val="none"/>
        </w:rPr>
        <w:t>。</w:t>
      </w:r>
    </w:p>
    <w:bookmarkEnd w:id="252"/>
    <w:bookmarkEnd w:id="253"/>
    <w:bookmarkEnd w:id="254"/>
    <w:bookmarkEnd w:id="255"/>
    <w:bookmarkEnd w:id="256"/>
    <w:bookmarkEnd w:id="257"/>
    <w:bookmarkEnd w:id="258"/>
    <w:bookmarkEnd w:id="259"/>
    <w:p w14:paraId="18E459A9">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bookmarkStart w:id="260" w:name="_Toc351203642"/>
      <w:r>
        <w:rPr>
          <w:rFonts w:hint="eastAsia" w:ascii="宋体" w:hAnsi="宋体" w:eastAsia="宋体" w:cs="宋体"/>
          <w:color w:val="auto"/>
          <w:sz w:val="24"/>
          <w:szCs w:val="24"/>
          <w:highlight w:val="none"/>
        </w:rPr>
        <w:t>1</w:t>
      </w:r>
      <w:bookmarkEnd w:id="226"/>
      <w:bookmarkEnd w:id="227"/>
      <w:bookmarkEnd w:id="228"/>
      <w:bookmarkEnd w:id="229"/>
      <w:bookmarkEnd w:id="230"/>
      <w:bookmarkEnd w:id="231"/>
      <w:bookmarkEnd w:id="232"/>
      <w:bookmarkEnd w:id="233"/>
      <w:bookmarkEnd w:id="234"/>
      <w:bookmarkEnd w:id="235"/>
      <w:bookmarkEnd w:id="236"/>
      <w:bookmarkEnd w:id="237"/>
      <w:bookmarkStart w:id="261" w:name="_Toc297216199"/>
      <w:bookmarkStart w:id="262" w:name="_Toc296891233"/>
      <w:bookmarkStart w:id="263" w:name="_Toc297123540"/>
      <w:bookmarkStart w:id="264" w:name="_Toc292559398"/>
      <w:bookmarkStart w:id="265" w:name="_Toc296346694"/>
      <w:bookmarkStart w:id="266" w:name="_Toc297048379"/>
      <w:bookmarkStart w:id="267" w:name="_Toc304295566"/>
      <w:bookmarkStart w:id="268" w:name="_Toc296347192"/>
      <w:bookmarkStart w:id="269" w:name="_Toc297120493"/>
      <w:bookmarkStart w:id="270" w:name="_Toc292559903"/>
      <w:bookmarkStart w:id="271" w:name="_Toc296944532"/>
      <w:bookmarkStart w:id="272" w:name="_Toc296503193"/>
      <w:bookmarkStart w:id="273" w:name="_Toc300934989"/>
      <w:bookmarkStart w:id="274" w:name="_Toc296891021"/>
      <w:bookmarkStart w:id="275" w:name="_Toc303539146"/>
      <w:bookmarkStart w:id="276" w:name="_Toc312678025"/>
      <w:bookmarkStart w:id="277" w:name="_Toc312677499"/>
      <w:bookmarkStart w:id="278" w:name="_Toc267251435"/>
      <w:bookmarkStart w:id="279" w:name="_Toc267251437"/>
      <w:bookmarkStart w:id="280" w:name="_Toc267251441"/>
      <w:bookmarkStart w:id="281" w:name="_Toc267251439"/>
      <w:bookmarkStart w:id="282" w:name="_Toc267251440"/>
      <w:bookmarkStart w:id="283" w:name="_Toc267251433"/>
      <w:bookmarkStart w:id="284" w:name="_Toc267251442"/>
      <w:r>
        <w:rPr>
          <w:rFonts w:hint="eastAsia" w:ascii="宋体" w:hAnsi="宋体" w:eastAsia="宋体" w:cs="宋体"/>
          <w:color w:val="auto"/>
          <w:sz w:val="24"/>
          <w:szCs w:val="24"/>
          <w:highlight w:val="none"/>
        </w:rPr>
        <w:t>0. 变更</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bookmarkEnd w:id="276"/>
    <w:bookmarkEnd w:id="277"/>
    <w:p w14:paraId="6F72DB76">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285" w:name="_Toc296891234"/>
      <w:bookmarkStart w:id="286" w:name="_Toc297120494"/>
      <w:bookmarkStart w:id="287" w:name="_Toc292559904"/>
      <w:bookmarkStart w:id="288" w:name="_Toc297123541"/>
      <w:bookmarkStart w:id="289" w:name="_Toc304295567"/>
      <w:bookmarkStart w:id="290" w:name="_Toc297216200"/>
      <w:bookmarkStart w:id="291" w:name="_Toc312677500"/>
      <w:bookmarkStart w:id="292" w:name="_Toc292559399"/>
      <w:bookmarkStart w:id="293" w:name="_Toc312678026"/>
      <w:bookmarkStart w:id="294" w:name="_Toc296891022"/>
      <w:bookmarkStart w:id="295" w:name="_Toc296347193"/>
      <w:bookmarkStart w:id="296" w:name="_Toc300934990"/>
      <w:bookmarkStart w:id="297" w:name="_Toc297048380"/>
      <w:bookmarkStart w:id="298" w:name="_Toc296503194"/>
      <w:bookmarkStart w:id="299" w:name="_Toc296346695"/>
      <w:bookmarkStart w:id="300" w:name="_Toc303539147"/>
      <w:bookmarkStart w:id="301" w:name="_Toc296944533"/>
      <w:r>
        <w:rPr>
          <w:rFonts w:hint="eastAsia" w:ascii="宋体" w:hAnsi="宋体" w:eastAsia="宋体" w:cs="宋体"/>
          <w:color w:val="auto"/>
          <w:sz w:val="24"/>
          <w:szCs w:val="24"/>
          <w:highlight w:val="none"/>
        </w:rPr>
        <w:t>0.1变更的范围</w:t>
      </w:r>
    </w:p>
    <w:p w14:paraId="24508FCC">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关于变更的范围的约定：</w:t>
      </w:r>
      <w:r>
        <w:rPr>
          <w:rFonts w:hint="eastAsia" w:ascii="宋体" w:hAnsi="宋体" w:eastAsia="宋体" w:cs="宋体"/>
          <w:color w:val="auto"/>
          <w:sz w:val="24"/>
          <w:szCs w:val="24"/>
          <w:highlight w:val="none"/>
          <w:u w:val="single"/>
        </w:rPr>
        <w:t>如无发包人提出的现场变更，不再增减合同费用</w:t>
      </w:r>
      <w:r>
        <w:rPr>
          <w:rFonts w:hint="eastAsia" w:ascii="宋体" w:hAnsi="宋体" w:eastAsia="宋体" w:cs="宋体"/>
          <w:color w:val="auto"/>
          <w:sz w:val="24"/>
          <w:szCs w:val="24"/>
          <w:highlight w:val="none"/>
        </w:rPr>
        <w:t>。</w:t>
      </w:r>
    </w:p>
    <w:p w14:paraId="7BE3EB56">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 变更估价</w:t>
      </w:r>
    </w:p>
    <w:p w14:paraId="5175FD8C">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10.4.1 变更估价原则</w:t>
      </w:r>
    </w:p>
    <w:p w14:paraId="1C043ECD">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关于变更估价的约定:</w:t>
      </w:r>
      <w:r>
        <w:rPr>
          <w:rFonts w:hint="eastAsia" w:ascii="宋体" w:hAnsi="宋体" w:eastAsia="宋体" w:cs="宋体"/>
          <w:color w:val="auto"/>
          <w:sz w:val="24"/>
          <w:szCs w:val="24"/>
          <w:highlight w:val="none"/>
          <w:u w:val="single"/>
        </w:rPr>
        <w:t xml:space="preserve"> 1、变更合同价款的方法。2、本工程发生变更、由发包人下达变更通知、经发包人认可的由监理工程师发出的变更指令、发包人暂定价材料认质认价单以及不可抗力事件发生的现场签证均按变更对待，发生费用由发包人承担。如承包人更改施工方法，而引起费用增加时，其费用均由承包人负责。3、本工程施工过程中，发生设计变更，依照实际发生的工程量按原合同中发包人及承包人确认的综合单价进行结算。4、本工程施工过程中，发生设计变更时措施费的调整原则：参照专用条款。5、新增变更项目发生时，工程量以实际签证量为准。变更合同价款按下列方法进行：合同中已有适用于变更工程的价格，按相应项目合同已确认的综合单价办理结算；合同中只有类似于变更工程的价格，只调整相应的主材费，主材单价按</w:t>
      </w:r>
      <w:r>
        <w:rPr>
          <w:rFonts w:hint="eastAsia" w:ascii="宋体" w:hAnsi="宋体" w:eastAsia="宋体" w:cs="宋体"/>
          <w:color w:val="auto"/>
          <w:sz w:val="24"/>
          <w:szCs w:val="24"/>
          <w:highlight w:val="none"/>
          <w:u w:val="single"/>
          <w:lang w:eastAsia="zh-CN"/>
        </w:rPr>
        <w:t>响应文件</w:t>
      </w:r>
      <w:r>
        <w:rPr>
          <w:rFonts w:hint="eastAsia" w:ascii="宋体" w:hAnsi="宋体" w:eastAsia="宋体" w:cs="宋体"/>
          <w:color w:val="auto"/>
          <w:sz w:val="24"/>
          <w:szCs w:val="24"/>
          <w:highlight w:val="none"/>
          <w:u w:val="single"/>
        </w:rPr>
        <w:t>主材价格计算；若</w:t>
      </w:r>
      <w:r>
        <w:rPr>
          <w:rFonts w:hint="eastAsia" w:ascii="宋体" w:hAnsi="宋体" w:eastAsia="宋体" w:cs="宋体"/>
          <w:color w:val="auto"/>
          <w:sz w:val="24"/>
          <w:szCs w:val="24"/>
          <w:highlight w:val="none"/>
          <w:u w:val="single"/>
          <w:lang w:eastAsia="zh-CN"/>
        </w:rPr>
        <w:t>响应文件</w:t>
      </w:r>
      <w:r>
        <w:rPr>
          <w:rFonts w:hint="eastAsia" w:ascii="宋体" w:hAnsi="宋体" w:eastAsia="宋体" w:cs="宋体"/>
          <w:color w:val="auto"/>
          <w:sz w:val="24"/>
          <w:szCs w:val="24"/>
          <w:highlight w:val="none"/>
          <w:u w:val="single"/>
        </w:rPr>
        <w:t>中无相同主材单价时，则执行经发包人认质认价程序确认的价格，差价只计取规费和税金，在类似工程价格的基础上组成新的单价，按新的单价办理结算；合同中没有适用或类似于工程变更的价格，由承包人提出适当的变更签证价格，经发包人确认后，按确认的单价办理结算。</w:t>
      </w:r>
    </w:p>
    <w:p w14:paraId="798BB20D">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Start w:id="302" w:name="_Toc297123544"/>
      <w:bookmarkStart w:id="303" w:name="_Toc296891025"/>
      <w:bookmarkStart w:id="304" w:name="_Toc292559907"/>
      <w:bookmarkStart w:id="305" w:name="_Toc296503197"/>
      <w:bookmarkStart w:id="306" w:name="_Toc297216203"/>
      <w:bookmarkStart w:id="307" w:name="_Toc292559402"/>
      <w:bookmarkStart w:id="308" w:name="_Toc296891237"/>
      <w:bookmarkStart w:id="309" w:name="_Toc303539150"/>
      <w:bookmarkStart w:id="310" w:name="_Toc297048383"/>
      <w:bookmarkStart w:id="311" w:name="_Toc297120497"/>
      <w:bookmarkStart w:id="312" w:name="_Toc300934993"/>
      <w:bookmarkStart w:id="313" w:name="_Toc296347196"/>
      <w:bookmarkStart w:id="314" w:name="_Toc296346698"/>
      <w:bookmarkStart w:id="315" w:name="_Toc296944536"/>
      <w:bookmarkStart w:id="316" w:name="_Toc312678029"/>
      <w:bookmarkStart w:id="317" w:name="_Toc312677503"/>
      <w:bookmarkStart w:id="318" w:name="_Toc304295570"/>
      <w:r>
        <w:rPr>
          <w:rFonts w:hint="eastAsia" w:ascii="宋体" w:hAnsi="宋体" w:eastAsia="宋体" w:cs="宋体"/>
          <w:color w:val="auto"/>
          <w:sz w:val="24"/>
          <w:szCs w:val="24"/>
          <w:highlight w:val="none"/>
        </w:rPr>
        <w:t>0.5承</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Start w:id="319" w:name="_Toc296891243"/>
      <w:bookmarkStart w:id="320" w:name="_Toc297123545"/>
      <w:bookmarkStart w:id="321" w:name="_Toc296891031"/>
      <w:bookmarkStart w:id="322" w:name="_Toc300934994"/>
      <w:bookmarkStart w:id="323" w:name="_Toc297216204"/>
      <w:bookmarkStart w:id="324" w:name="_Toc292559408"/>
      <w:bookmarkStart w:id="325" w:name="_Toc303539151"/>
      <w:bookmarkStart w:id="326" w:name="_Toc292559913"/>
      <w:bookmarkStart w:id="327" w:name="_Toc297120503"/>
      <w:bookmarkStart w:id="328" w:name="_Toc296944542"/>
      <w:bookmarkStart w:id="329" w:name="_Toc296347202"/>
      <w:bookmarkStart w:id="330" w:name="_Toc297048389"/>
      <w:bookmarkStart w:id="331" w:name="_Toc296346704"/>
      <w:bookmarkStart w:id="332" w:name="_Toc296503203"/>
      <w:r>
        <w:rPr>
          <w:rFonts w:hint="eastAsia" w:ascii="宋体" w:hAnsi="宋体" w:eastAsia="宋体" w:cs="宋体"/>
          <w:color w:val="auto"/>
          <w:sz w:val="24"/>
          <w:szCs w:val="24"/>
          <w:highlight w:val="none"/>
        </w:rPr>
        <w:t>包人的合理化建议</w:t>
      </w:r>
    </w:p>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14:paraId="37A16D25">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监理人审查承包人合理化建议的期限：</w:t>
      </w:r>
      <w:r>
        <w:rPr>
          <w:rFonts w:hint="eastAsia" w:ascii="宋体" w:hAnsi="宋体" w:eastAsia="宋体" w:cs="宋体"/>
          <w:color w:val="auto"/>
          <w:sz w:val="24"/>
          <w:szCs w:val="24"/>
          <w:highlight w:val="none"/>
          <w:u w:val="single"/>
        </w:rPr>
        <w:t xml:space="preserve">  天</w:t>
      </w:r>
      <w:r>
        <w:rPr>
          <w:rFonts w:hint="eastAsia" w:ascii="宋体" w:hAnsi="宋体" w:eastAsia="宋体" w:cs="宋体"/>
          <w:color w:val="auto"/>
          <w:sz w:val="24"/>
          <w:szCs w:val="24"/>
          <w:highlight w:val="none"/>
        </w:rPr>
        <w:t>。</w:t>
      </w:r>
    </w:p>
    <w:p w14:paraId="562B4502">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发包人审批承包人合理化建议的期限：</w:t>
      </w:r>
      <w:r>
        <w:rPr>
          <w:rFonts w:hint="eastAsia" w:ascii="宋体" w:hAnsi="宋体" w:eastAsia="宋体" w:cs="宋体"/>
          <w:color w:val="auto"/>
          <w:sz w:val="24"/>
          <w:szCs w:val="24"/>
          <w:highlight w:val="none"/>
          <w:u w:val="single"/>
        </w:rPr>
        <w:t xml:space="preserve">  天</w:t>
      </w:r>
      <w:r>
        <w:rPr>
          <w:rFonts w:hint="eastAsia" w:ascii="宋体" w:hAnsi="宋体" w:eastAsia="宋体" w:cs="宋体"/>
          <w:color w:val="auto"/>
          <w:sz w:val="24"/>
          <w:szCs w:val="24"/>
          <w:highlight w:val="none"/>
        </w:rPr>
        <w:t>。</w:t>
      </w:r>
    </w:p>
    <w:p w14:paraId="53EF56C8">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w:t>
      </w:r>
      <w:bookmarkStart w:id="333" w:name="_Toc296503204"/>
      <w:bookmarkStart w:id="334" w:name="_Toc297123546"/>
      <w:bookmarkStart w:id="335" w:name="_Toc297120504"/>
      <w:bookmarkStart w:id="336" w:name="_Toc296347203"/>
      <w:bookmarkStart w:id="337" w:name="_Toc312678030"/>
      <w:bookmarkStart w:id="338" w:name="_Toc297048390"/>
      <w:bookmarkStart w:id="339" w:name="_Toc296891244"/>
      <w:bookmarkStart w:id="340" w:name="_Toc304295571"/>
      <w:bookmarkStart w:id="341" w:name="_Toc300934995"/>
      <w:bookmarkStart w:id="342" w:name="_Toc303539152"/>
      <w:bookmarkStart w:id="343" w:name="_Toc318581175"/>
      <w:bookmarkStart w:id="344" w:name="_Toc292559914"/>
      <w:bookmarkStart w:id="345" w:name="_Toc296944543"/>
      <w:bookmarkStart w:id="346" w:name="_Toc297216205"/>
      <w:bookmarkStart w:id="347" w:name="_Toc292559409"/>
      <w:bookmarkStart w:id="348" w:name="_Toc296891032"/>
      <w:bookmarkStart w:id="349" w:name="_Toc312677504"/>
      <w:bookmarkStart w:id="350" w:name="_Toc296346705"/>
      <w:r>
        <w:rPr>
          <w:rFonts w:hint="eastAsia" w:ascii="宋体" w:hAnsi="宋体" w:eastAsia="宋体" w:cs="宋体"/>
          <w:color w:val="auto"/>
          <w:sz w:val="24"/>
          <w:szCs w:val="24"/>
          <w:highlight w:val="none"/>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rPr>
        <w:t>承包人提出的合理化建议经发包人同意采纳后，如导致费用增，发包人对此不予补偿；如合理化建议更改不影响原设计意图或不降低原有功能，节省的费用应从合同价款中扣除承包人相应费用，合理化建议更改造成的影响及损失由承包人承担</w:t>
      </w:r>
      <w:r>
        <w:rPr>
          <w:rFonts w:hint="eastAsia" w:ascii="宋体" w:hAnsi="宋体" w:eastAsia="宋体" w:cs="宋体"/>
          <w:color w:val="auto"/>
          <w:sz w:val="24"/>
          <w:szCs w:val="24"/>
          <w:highlight w:val="none"/>
        </w:rPr>
        <w:t>。</w:t>
      </w:r>
    </w:p>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14:paraId="537B7E7F">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351" w:name="_Toc296944538"/>
      <w:bookmarkStart w:id="352" w:name="_Toc296347198"/>
      <w:bookmarkStart w:id="353" w:name="_Toc296503199"/>
      <w:bookmarkStart w:id="354" w:name="_Toc303539154"/>
      <w:bookmarkStart w:id="355" w:name="_Toc296346700"/>
      <w:bookmarkStart w:id="356" w:name="_Toc296891027"/>
      <w:bookmarkStart w:id="357" w:name="_Toc292559404"/>
      <w:bookmarkStart w:id="358" w:name="_Toc312677507"/>
      <w:bookmarkStart w:id="359" w:name="_Toc300934997"/>
      <w:bookmarkStart w:id="360" w:name="_Toc297120499"/>
      <w:bookmarkStart w:id="361" w:name="_Toc297048385"/>
      <w:bookmarkStart w:id="362" w:name="_Toc296891239"/>
      <w:bookmarkStart w:id="363" w:name="_Toc292559909"/>
      <w:bookmarkStart w:id="364" w:name="_Toc304295574"/>
      <w:bookmarkStart w:id="365" w:name="_Toc297123548"/>
      <w:bookmarkStart w:id="366" w:name="_Toc297216207"/>
      <w:bookmarkStart w:id="367" w:name="_Toc312678033"/>
      <w:r>
        <w:rPr>
          <w:rFonts w:hint="eastAsia" w:ascii="宋体" w:hAnsi="宋体" w:eastAsia="宋体" w:cs="宋体"/>
          <w:color w:val="auto"/>
          <w:sz w:val="24"/>
          <w:szCs w:val="24"/>
          <w:highlight w:val="none"/>
        </w:rPr>
        <w:t>0.7 暂估价</w:t>
      </w:r>
    </w:p>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14:paraId="3943C9F2">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暂</w:t>
      </w:r>
      <w:bookmarkStart w:id="368" w:name="_Toc318581176"/>
      <w:bookmarkStart w:id="369" w:name="_Toc312677508"/>
      <w:bookmarkStart w:id="370" w:name="_Toc312678034"/>
      <w:r>
        <w:rPr>
          <w:rFonts w:hint="eastAsia" w:ascii="宋体" w:hAnsi="宋体" w:eastAsia="宋体" w:cs="宋体"/>
          <w:color w:val="auto"/>
          <w:kern w:val="0"/>
          <w:sz w:val="24"/>
          <w:szCs w:val="24"/>
          <w:highlight w:val="none"/>
        </w:rPr>
        <w:t>估价材料和工程设备的明细详见附件11：《</w:t>
      </w:r>
      <w:r>
        <w:rPr>
          <w:rFonts w:hint="eastAsia" w:ascii="宋体" w:hAnsi="宋体" w:eastAsia="宋体" w:cs="宋体"/>
          <w:color w:val="auto"/>
          <w:sz w:val="24"/>
          <w:szCs w:val="24"/>
          <w:highlight w:val="none"/>
        </w:rPr>
        <w:t>暂估价一览表》</w:t>
      </w:r>
      <w:r>
        <w:rPr>
          <w:rFonts w:hint="eastAsia" w:ascii="宋体" w:hAnsi="宋体" w:eastAsia="宋体" w:cs="宋体"/>
          <w:color w:val="auto"/>
          <w:kern w:val="0"/>
          <w:sz w:val="24"/>
          <w:szCs w:val="24"/>
          <w:highlight w:val="none"/>
        </w:rPr>
        <w:t>。</w:t>
      </w:r>
    </w:p>
    <w:bookmarkEnd w:id="368"/>
    <w:bookmarkEnd w:id="369"/>
    <w:bookmarkEnd w:id="370"/>
    <w:p w14:paraId="7A8EDCD4">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Start w:id="371" w:name="_Toc312678035"/>
      <w:bookmarkStart w:id="372" w:name="_Toc318581177"/>
      <w:bookmarkStart w:id="373" w:name="_Toc312677509"/>
      <w:r>
        <w:rPr>
          <w:rFonts w:hint="eastAsia" w:ascii="宋体" w:hAnsi="宋体" w:eastAsia="宋体" w:cs="宋体"/>
          <w:color w:val="auto"/>
          <w:sz w:val="24"/>
          <w:szCs w:val="24"/>
          <w:highlight w:val="none"/>
        </w:rPr>
        <w:t>0.7.1 依法必须招标的暂估价项目</w:t>
      </w:r>
    </w:p>
    <w:bookmarkEnd w:id="371"/>
    <w:bookmarkEnd w:id="372"/>
    <w:bookmarkEnd w:id="373"/>
    <w:p w14:paraId="64BDC143">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对于依法必须招标的暂估价项目的确认和批准采取第</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rPr>
        <w:t>种方式确定。</w:t>
      </w:r>
    </w:p>
    <w:p w14:paraId="237539C8">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10.7.2 不属于依法必须招标的暂估价项目</w:t>
      </w:r>
    </w:p>
    <w:p w14:paraId="7D516665">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对于不属于依法必须招标的暂估价项目的确认和批准采取第</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rPr>
        <w:t>种方式确定。</w:t>
      </w:r>
    </w:p>
    <w:p w14:paraId="69F7C7A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第3种方式：</w:t>
      </w:r>
      <w:r>
        <w:rPr>
          <w:rFonts w:hint="eastAsia" w:ascii="宋体" w:hAnsi="宋体" w:eastAsia="宋体" w:cs="宋体"/>
          <w:color w:val="auto"/>
          <w:kern w:val="0"/>
          <w:sz w:val="24"/>
          <w:szCs w:val="24"/>
          <w:highlight w:val="none"/>
        </w:rPr>
        <w:t>承包人直接实施的暂估价项目</w:t>
      </w:r>
    </w:p>
    <w:p w14:paraId="0F12CBAD">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承包人直接实施的暂估价项目的约定：</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p w14:paraId="48EC6D92">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10.8 暂列金额</w:t>
      </w:r>
    </w:p>
    <w:p w14:paraId="270FD722">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合同当事人关于暂列金额使用的约定：</w:t>
      </w:r>
      <w:r>
        <w:rPr>
          <w:rFonts w:hint="eastAsia" w:ascii="宋体" w:hAnsi="宋体" w:eastAsia="宋体" w:cs="宋体"/>
          <w:color w:val="auto"/>
          <w:kern w:val="0"/>
          <w:sz w:val="24"/>
          <w:szCs w:val="24"/>
          <w:highlight w:val="none"/>
          <w:u w:val="single"/>
        </w:rPr>
        <w:t>暂列金用于支付设计变更和签证费用，以及其他不可预见费用</w:t>
      </w:r>
      <w:r>
        <w:rPr>
          <w:rFonts w:hint="eastAsia" w:ascii="宋体" w:hAnsi="宋体" w:eastAsia="宋体" w:cs="宋体"/>
          <w:color w:val="auto"/>
          <w:kern w:val="0"/>
          <w:sz w:val="24"/>
          <w:szCs w:val="24"/>
          <w:highlight w:val="none"/>
        </w:rPr>
        <w:t>。</w:t>
      </w:r>
    </w:p>
    <w:p w14:paraId="51EA2893">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bookmarkStart w:id="374" w:name="_Toc351203643"/>
      <w:r>
        <w:rPr>
          <w:rFonts w:hint="eastAsia" w:ascii="宋体" w:hAnsi="宋体" w:eastAsia="宋体" w:cs="宋体"/>
          <w:color w:val="auto"/>
          <w:sz w:val="24"/>
          <w:szCs w:val="24"/>
          <w:highlight w:val="none"/>
        </w:rPr>
        <w:t>11. 价格调整</w:t>
      </w:r>
      <w:bookmarkEnd w:id="374"/>
    </w:p>
    <w:p w14:paraId="2FF63F79">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bookmarkStart w:id="375" w:name="_Toc297120501"/>
      <w:bookmarkStart w:id="376" w:name="_Toc300935000"/>
      <w:bookmarkStart w:id="377" w:name="_Toc296891241"/>
      <w:bookmarkStart w:id="378" w:name="_Toc296347200"/>
      <w:bookmarkStart w:id="379" w:name="_Toc296891029"/>
      <w:bookmarkStart w:id="380" w:name="_Toc312678039"/>
      <w:bookmarkStart w:id="381" w:name="_Toc297123550"/>
      <w:bookmarkStart w:id="382" w:name="_Toc292559406"/>
      <w:bookmarkStart w:id="383" w:name="_Toc292559911"/>
      <w:bookmarkStart w:id="384" w:name="_Toc296503201"/>
      <w:bookmarkStart w:id="385" w:name="_Toc297216209"/>
      <w:bookmarkStart w:id="386" w:name="_Toc296944540"/>
      <w:bookmarkStart w:id="387" w:name="_Toc303539157"/>
      <w:bookmarkStart w:id="388" w:name="_Toc296346702"/>
      <w:bookmarkStart w:id="389" w:name="_Toc297048387"/>
      <w:bookmarkStart w:id="390" w:name="_Toc304295577"/>
      <w:r>
        <w:rPr>
          <w:rFonts w:hint="eastAsia" w:ascii="宋体" w:hAnsi="宋体" w:eastAsia="宋体" w:cs="宋体"/>
          <w:color w:val="auto"/>
          <w:sz w:val="24"/>
          <w:szCs w:val="24"/>
          <w:highlight w:val="none"/>
        </w:rPr>
        <w:t>11.1 市场价格波动引起的调整</w:t>
      </w:r>
    </w:p>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14:paraId="16423445">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市场价格波动是否调整合同价格的约定：</w:t>
      </w:r>
      <w:r>
        <w:rPr>
          <w:rFonts w:hint="eastAsia" w:ascii="宋体" w:hAnsi="宋体" w:eastAsia="宋体" w:cs="宋体"/>
          <w:color w:val="auto"/>
          <w:kern w:val="0"/>
          <w:sz w:val="24"/>
          <w:szCs w:val="24"/>
          <w:highlight w:val="none"/>
          <w:u w:val="single"/>
        </w:rPr>
        <w:t>调整</w:t>
      </w:r>
      <w:r>
        <w:rPr>
          <w:rFonts w:hint="eastAsia" w:ascii="宋体" w:hAnsi="宋体" w:eastAsia="宋体" w:cs="宋体"/>
          <w:color w:val="auto"/>
          <w:sz w:val="24"/>
          <w:szCs w:val="24"/>
          <w:highlight w:val="none"/>
        </w:rPr>
        <w:t>。</w:t>
      </w:r>
    </w:p>
    <w:p w14:paraId="1954AFF9">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因市场价格波动调整合同价格，采用以下第</w:t>
      </w:r>
      <w:r>
        <w:rPr>
          <w:rFonts w:hint="eastAsia" w:ascii="宋体" w:hAnsi="宋体" w:eastAsia="宋体" w:cs="宋体"/>
          <w:color w:val="auto"/>
          <w:sz w:val="24"/>
          <w:szCs w:val="24"/>
          <w:highlight w:val="none"/>
          <w:u w:val="single"/>
          <w:lang w:val="en-US" w:eastAsia="zh-CN"/>
        </w:rPr>
        <w:t>3</w:t>
      </w:r>
      <w:r>
        <w:rPr>
          <w:rFonts w:hint="eastAsia" w:ascii="宋体" w:hAnsi="宋体" w:eastAsia="宋体" w:cs="宋体"/>
          <w:color w:val="auto"/>
          <w:sz w:val="24"/>
          <w:szCs w:val="24"/>
          <w:highlight w:val="none"/>
        </w:rPr>
        <w:t>种方式对合同价格进行调整：</w:t>
      </w:r>
    </w:p>
    <w:p w14:paraId="2B4C0CD6">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第1种方式：采用价格指数进行价格调整。</w:t>
      </w:r>
    </w:p>
    <w:p w14:paraId="6A2E1B44">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关于各可调因子、定值和变值权重，以及基本价格指数及其来源的约定：</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 xml:space="preserve">；  </w:t>
      </w:r>
    </w:p>
    <w:p w14:paraId="5C93A8CC">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第2种方式：采用造价信息进行价格调整。</w:t>
      </w:r>
    </w:p>
    <w:p w14:paraId="36A1497B">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（2）关于基准价格的约定：</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43ECA47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%时，或材料单价跌幅以已标价工程量清单或预算书中载明材料单价为基础超过</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%时，其超过部分据实调整。</w:t>
      </w:r>
    </w:p>
    <w:p w14:paraId="2F074E46">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%时，材料单价涨幅以已标价工程量清单或预算书中载明材料单价为基础超过</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%时，其超过部分据实调整。</w:t>
      </w:r>
    </w:p>
    <w:p w14:paraId="239A5BBC">
      <w:pPr>
        <w:keepLines w:val="0"/>
        <w:pageBreakBefore w:val="0"/>
        <w:shd w:val="clear" w:color="auto" w:fill="auto"/>
        <w:kinsoku/>
        <w:wordWrap/>
        <w:overflowPunct/>
        <w:topLinePunct w:val="0"/>
        <w:bidi w:val="0"/>
        <w:snapToGrid/>
        <w:spacing w:line="360" w:lineRule="auto"/>
        <w:ind w:firstLine="645"/>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%时，其超过部分据实调整。</w:t>
      </w:r>
    </w:p>
    <w:p w14:paraId="56836C43">
      <w:pPr>
        <w:keepLines w:val="0"/>
        <w:pageBreakBefore w:val="0"/>
        <w:shd w:val="clear" w:color="auto" w:fill="auto"/>
        <w:kinsoku/>
        <w:wordWrap/>
        <w:overflowPunct/>
        <w:topLinePunct w:val="0"/>
        <w:bidi w:val="0"/>
        <w:snapToGrid/>
        <w:spacing w:line="360" w:lineRule="auto"/>
        <w:ind w:firstLine="645"/>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第3种方式：其他价格调整方式：</w:t>
      </w:r>
      <w:r>
        <w:rPr>
          <w:rFonts w:hint="eastAsia" w:ascii="宋体" w:hAnsi="宋体" w:eastAsia="宋体" w:cs="宋体"/>
          <w:color w:val="auto"/>
          <w:sz w:val="24"/>
          <w:szCs w:val="24"/>
          <w:highlight w:val="none"/>
          <w:u w:val="single"/>
        </w:rPr>
        <w:t>除政策性文件调整，综合单价不做调整。政策性文件调整，按相应文件执行</w:t>
      </w:r>
      <w:r>
        <w:rPr>
          <w:rFonts w:hint="eastAsia" w:ascii="宋体" w:hAnsi="宋体" w:eastAsia="宋体" w:cs="宋体"/>
          <w:color w:val="auto"/>
          <w:sz w:val="24"/>
          <w:szCs w:val="24"/>
          <w:highlight w:val="none"/>
        </w:rPr>
        <w:t>。</w:t>
      </w:r>
    </w:p>
    <w:bookmarkEnd w:id="278"/>
    <w:bookmarkEnd w:id="279"/>
    <w:bookmarkEnd w:id="280"/>
    <w:bookmarkEnd w:id="281"/>
    <w:bookmarkEnd w:id="282"/>
    <w:bookmarkEnd w:id="283"/>
    <w:p w14:paraId="21539005">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lang w:val="en-US" w:eastAsia="zh-CN"/>
        </w:rPr>
      </w:pPr>
      <w:bookmarkStart w:id="391" w:name="_Toc296891245"/>
      <w:bookmarkStart w:id="392" w:name="_Toc296503205"/>
      <w:bookmarkStart w:id="393" w:name="_Toc292559915"/>
      <w:bookmarkStart w:id="394" w:name="_Toc292559410"/>
      <w:bookmarkStart w:id="395" w:name="_Toc296347204"/>
      <w:bookmarkStart w:id="396" w:name="_Toc296346706"/>
      <w:bookmarkStart w:id="397" w:name="_Toc297120505"/>
      <w:bookmarkStart w:id="398" w:name="_Toc296944544"/>
      <w:bookmarkStart w:id="399" w:name="_Toc296891033"/>
      <w:bookmarkStart w:id="400" w:name="_Toc297048391"/>
      <w:bookmarkStart w:id="401" w:name="_Toc351203644"/>
      <w:bookmarkStart w:id="402" w:name="_Toc304295579"/>
      <w:bookmarkStart w:id="403" w:name="_Toc312678040"/>
      <w:bookmarkStart w:id="404" w:name="_Toc300935002"/>
      <w:bookmarkStart w:id="405" w:name="_Toc297123552"/>
      <w:bookmarkStart w:id="406" w:name="_Toc303539159"/>
      <w:bookmarkStart w:id="407" w:name="_Toc297216211"/>
      <w:r>
        <w:rPr>
          <w:rFonts w:hint="eastAsia" w:ascii="宋体" w:hAnsi="宋体" w:eastAsia="宋体" w:cs="宋体"/>
          <w:color w:val="auto"/>
          <w:sz w:val="24"/>
          <w:szCs w:val="24"/>
          <w:highlight w:val="none"/>
          <w:lang w:val="en-US" w:eastAsia="zh-CN"/>
        </w:rPr>
        <w:t xml:space="preserve">12. </w:t>
      </w:r>
      <w:bookmarkEnd w:id="391"/>
      <w:bookmarkEnd w:id="392"/>
      <w:bookmarkEnd w:id="393"/>
      <w:bookmarkEnd w:id="394"/>
      <w:bookmarkEnd w:id="395"/>
      <w:bookmarkEnd w:id="396"/>
      <w:bookmarkEnd w:id="397"/>
      <w:bookmarkEnd w:id="398"/>
      <w:bookmarkEnd w:id="399"/>
      <w:bookmarkEnd w:id="400"/>
      <w:r>
        <w:rPr>
          <w:rFonts w:hint="eastAsia" w:ascii="宋体" w:hAnsi="宋体" w:eastAsia="宋体" w:cs="宋体"/>
          <w:color w:val="auto"/>
          <w:sz w:val="24"/>
          <w:szCs w:val="24"/>
          <w:highlight w:val="none"/>
          <w:lang w:val="en-US" w:eastAsia="zh-CN"/>
        </w:rPr>
        <w:t>合同价格、计量与支付</w:t>
      </w:r>
      <w:bookmarkEnd w:id="401"/>
    </w:p>
    <w:bookmarkEnd w:id="402"/>
    <w:bookmarkEnd w:id="403"/>
    <w:bookmarkEnd w:id="404"/>
    <w:bookmarkEnd w:id="405"/>
    <w:bookmarkEnd w:id="406"/>
    <w:bookmarkEnd w:id="407"/>
    <w:p w14:paraId="3304A079">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bookmarkStart w:id="408" w:name="_Toc292559916"/>
      <w:bookmarkStart w:id="409" w:name="_Toc292559411"/>
      <w:bookmarkStart w:id="410" w:name="_Toc267251461"/>
      <w:bookmarkStart w:id="411" w:name="_Toc296891246"/>
      <w:bookmarkStart w:id="412" w:name="_Toc296891034"/>
      <w:bookmarkStart w:id="413" w:name="_Toc296347205"/>
      <w:bookmarkStart w:id="414" w:name="_Toc297048392"/>
      <w:bookmarkStart w:id="415" w:name="_Toc296944545"/>
      <w:bookmarkStart w:id="416" w:name="_Toc296503206"/>
      <w:bookmarkStart w:id="417" w:name="_Toc296346707"/>
      <w:bookmarkStart w:id="418" w:name="_Toc297120506"/>
      <w:bookmarkStart w:id="419" w:name="_Toc297123553"/>
      <w:bookmarkStart w:id="420" w:name="_Toc300935003"/>
      <w:bookmarkStart w:id="421" w:name="_Toc312678041"/>
      <w:bookmarkStart w:id="422" w:name="_Toc303539160"/>
      <w:bookmarkStart w:id="423" w:name="_Toc304295580"/>
      <w:bookmarkStart w:id="424" w:name="_Toc297216212"/>
      <w:r>
        <w:rPr>
          <w:rFonts w:hint="eastAsia" w:ascii="宋体" w:hAnsi="宋体" w:eastAsia="宋体" w:cs="宋体"/>
          <w:color w:val="auto"/>
          <w:sz w:val="24"/>
          <w:szCs w:val="24"/>
          <w:highlight w:val="none"/>
        </w:rPr>
        <w:t>12.1 合</w:t>
      </w:r>
      <w:bookmarkEnd w:id="408"/>
      <w:bookmarkEnd w:id="409"/>
      <w:bookmarkEnd w:id="410"/>
      <w:r>
        <w:rPr>
          <w:rFonts w:hint="eastAsia" w:ascii="宋体" w:hAnsi="宋体" w:eastAsia="宋体" w:cs="宋体"/>
          <w:color w:val="auto"/>
          <w:sz w:val="24"/>
          <w:szCs w:val="24"/>
          <w:highlight w:val="none"/>
        </w:rPr>
        <w:t>同价</w:t>
      </w:r>
      <w:bookmarkEnd w:id="411"/>
      <w:bookmarkEnd w:id="412"/>
      <w:bookmarkEnd w:id="413"/>
      <w:bookmarkEnd w:id="414"/>
      <w:bookmarkEnd w:id="415"/>
      <w:bookmarkEnd w:id="416"/>
      <w:bookmarkEnd w:id="417"/>
      <w:bookmarkEnd w:id="418"/>
      <w:r>
        <w:rPr>
          <w:rFonts w:hint="eastAsia" w:ascii="宋体" w:hAnsi="宋体" w:eastAsia="宋体" w:cs="宋体"/>
          <w:color w:val="auto"/>
          <w:sz w:val="24"/>
          <w:szCs w:val="24"/>
          <w:highlight w:val="none"/>
        </w:rPr>
        <w:t>格形式</w:t>
      </w:r>
    </w:p>
    <w:bookmarkEnd w:id="419"/>
    <w:bookmarkEnd w:id="420"/>
    <w:bookmarkEnd w:id="421"/>
    <w:bookmarkEnd w:id="422"/>
    <w:bookmarkEnd w:id="423"/>
    <w:bookmarkEnd w:id="424"/>
    <w:p w14:paraId="01C79535">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w:t>
      </w:r>
    </w:p>
    <w:p w14:paraId="0FCFC69D">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本协议书中规定承包范围的所有工作内容；合同执行期间自主报价内容的市场价格变化；人工费、材料费（除约定材料）、机械费的社会价格浮动，除法定不可抗力因素以外的所有风险、责任和义务均视为综合单价的风险；招标工程量清单包含的但由于承包人漏报、未报的项目，招标人视为投标人优惠，招标人不予调整；本合同人工费价格、税金等执行国家政策性文件调整，此风险不包含在综合单价风险中。实际完成工程量与工程量清单表明的工程量变化幅度不得超过10%</w:t>
      </w:r>
      <w:r>
        <w:rPr>
          <w:rFonts w:hint="eastAsia" w:ascii="宋体" w:hAnsi="宋体" w:eastAsia="宋体" w:cs="宋体"/>
          <w:color w:val="auto"/>
          <w:sz w:val="24"/>
          <w:szCs w:val="24"/>
          <w:highlight w:val="none"/>
        </w:rPr>
        <w:t>。</w:t>
      </w:r>
    </w:p>
    <w:p w14:paraId="6EAEBC0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应由承包人承担的风险费用已由承包人根据自身经验做了充分估计并已计入合同协议确定的合同价款中</w:t>
      </w:r>
      <w:r>
        <w:rPr>
          <w:rFonts w:hint="eastAsia" w:ascii="宋体" w:hAnsi="宋体" w:eastAsia="宋体" w:cs="宋体"/>
          <w:color w:val="auto"/>
          <w:sz w:val="24"/>
          <w:szCs w:val="24"/>
          <w:highlight w:val="none"/>
        </w:rPr>
        <w:t>。</w:t>
      </w:r>
    </w:p>
    <w:p w14:paraId="42D748FF">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1）合同已有适用的综合单价，按合同已有的综合单价结算；（2）合同中只有类似的综合单价，参照类似综合单价进行结算；（3）合同中没有适用或类似的综合单价时，按招标同期控制价的编制原则编制其综合单价，按中标价与控制价的优惠比率下浮后作为结算价；（4）合同中有相同清单项但报价不同时，价款调增以最低综合单价或价格计算；（5）经发包方认质认价的材料，在工程结算时计算材料差价，差价部分计取安全文明施工费、规费和税金，原中标综合单价不变。</w:t>
      </w:r>
    </w:p>
    <w:p w14:paraId="319FC828">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w:t>
      </w:r>
    </w:p>
    <w:p w14:paraId="0396DCD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总价包含的风险范围：</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741C1BB9">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3484F1C6">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w:t>
      </w:r>
    </w:p>
    <w:p w14:paraId="34EB734F">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3、其他价格方式：</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w:t>
      </w:r>
    </w:p>
    <w:p w14:paraId="12CA61BD">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bookmarkStart w:id="425" w:name="_Toc303539161"/>
      <w:bookmarkStart w:id="426" w:name="_Toc312678042"/>
      <w:bookmarkStart w:id="427" w:name="_Toc304295581"/>
      <w:bookmarkStart w:id="428" w:name="_Toc297123554"/>
      <w:bookmarkStart w:id="429" w:name="_Toc297216213"/>
      <w:bookmarkStart w:id="430" w:name="_Toc300935004"/>
      <w:bookmarkStart w:id="431" w:name="_Toc296891247"/>
      <w:bookmarkStart w:id="432" w:name="_Toc292559917"/>
      <w:bookmarkStart w:id="433" w:name="_Toc296347206"/>
      <w:bookmarkStart w:id="434" w:name="_Toc297120507"/>
      <w:bookmarkStart w:id="435" w:name="_Toc296891035"/>
      <w:bookmarkStart w:id="436" w:name="_Toc296503207"/>
      <w:bookmarkStart w:id="437" w:name="_Toc296944546"/>
      <w:bookmarkStart w:id="438" w:name="_Toc296346708"/>
      <w:bookmarkStart w:id="439" w:name="_Toc292559412"/>
      <w:bookmarkStart w:id="440" w:name="_Toc297048393"/>
      <w:r>
        <w:rPr>
          <w:rFonts w:hint="eastAsia" w:ascii="宋体" w:hAnsi="宋体" w:eastAsia="宋体" w:cs="宋体"/>
          <w:color w:val="auto"/>
          <w:sz w:val="24"/>
          <w:szCs w:val="24"/>
          <w:highlight w:val="none"/>
        </w:rPr>
        <w:t>12.2 付款</w:t>
      </w:r>
      <w:bookmarkEnd w:id="425"/>
      <w:bookmarkEnd w:id="426"/>
      <w:bookmarkEnd w:id="427"/>
      <w:bookmarkEnd w:id="428"/>
      <w:bookmarkEnd w:id="429"/>
      <w:bookmarkEnd w:id="430"/>
    </w:p>
    <w:p w14:paraId="52905E85">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付款的支付</w:t>
      </w:r>
    </w:p>
    <w:p w14:paraId="4550440F">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项目竣工验收合格并经行政审理且保洁、清场后支付97%；</w:t>
      </w:r>
      <w:r>
        <w:rPr>
          <w:rFonts w:hint="eastAsia" w:ascii="宋体" w:hAnsi="宋体" w:eastAsia="宋体" w:cs="宋体"/>
          <w:color w:val="auto"/>
          <w:sz w:val="24"/>
          <w:szCs w:val="24"/>
          <w:highlight w:val="none"/>
        </w:rPr>
        <w:t>剩余3%作为质量保证金，竣工验收合格缺陷责任期满且无质量问题后免息支付。</w:t>
      </w:r>
    </w:p>
    <w:p w14:paraId="5AD69F2A">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28A60D7C">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24B27F7F">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bookmarkEnd w:id="431"/>
    <w:bookmarkEnd w:id="432"/>
    <w:bookmarkEnd w:id="433"/>
    <w:bookmarkEnd w:id="434"/>
    <w:bookmarkEnd w:id="435"/>
    <w:bookmarkEnd w:id="436"/>
    <w:bookmarkEnd w:id="437"/>
    <w:bookmarkEnd w:id="438"/>
    <w:bookmarkEnd w:id="439"/>
    <w:bookmarkEnd w:id="440"/>
    <w:p w14:paraId="2CAD83CA">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7D78FAD4">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4D203BAA">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工程量计算规则：</w:t>
      </w:r>
      <w:r>
        <w:rPr>
          <w:rFonts w:hint="eastAsia" w:ascii="宋体" w:hAnsi="宋体" w:eastAsia="宋体" w:cs="宋体"/>
          <w:color w:val="auto"/>
          <w:sz w:val="24"/>
          <w:szCs w:val="24"/>
          <w:highlight w:val="none"/>
          <w:u w:val="single"/>
        </w:rPr>
        <w:t>承包人向工程师提交已完工程量报告的时间：</w:t>
      </w:r>
    </w:p>
    <w:p w14:paraId="0AC81AC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定期提供实际完成合格工程的工程计量申请报表，工程计量申请报表仅作为支付工程进度款的依据。不作为工程竣工结算依据。</w:t>
      </w:r>
    </w:p>
    <w:p w14:paraId="61F90CB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所有的现场签证及设计变更原始数据都须由发包人和监理单位驻工地代表签字确认方为有效，方可作为结算依据。</w:t>
      </w:r>
    </w:p>
    <w:p w14:paraId="39005BA5">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因承包人自身原因超出设计图纸要求或工程量清单而增加的工程量和因自身原因造成返工的工程量，承包人自行承担。</w:t>
      </w:r>
    </w:p>
    <w:p w14:paraId="3E0F6DDF">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施工期内凡违背合同及其补充条款的工程量及签证，结算时一律不予确认。</w:t>
      </w:r>
    </w:p>
    <w:p w14:paraId="7193ED7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6E6D2F30">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工程量的计量按月进行</w:t>
      </w:r>
      <w:r>
        <w:rPr>
          <w:rFonts w:hint="eastAsia" w:ascii="宋体" w:hAnsi="宋体" w:eastAsia="宋体" w:cs="宋体"/>
          <w:color w:val="auto"/>
          <w:sz w:val="24"/>
          <w:szCs w:val="24"/>
          <w:highlight w:val="none"/>
        </w:rPr>
        <w:t>。</w:t>
      </w:r>
    </w:p>
    <w:p w14:paraId="66A3315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7B99DC3D">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p w14:paraId="788F634C">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09082C5C">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3C8243EC">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57462E1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1DD15FA9">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107DE6F9">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工程进度款支付</w:t>
      </w:r>
    </w:p>
    <w:p w14:paraId="52BF2C3F">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lang w:val="en-US" w:eastAsia="zh-CN"/>
        </w:rPr>
      </w:pPr>
      <w:bookmarkStart w:id="441" w:name="_Toc297216215"/>
      <w:bookmarkStart w:id="442" w:name="_Toc296891039"/>
      <w:bookmarkStart w:id="443" w:name="_Toc303539163"/>
      <w:bookmarkStart w:id="444" w:name="_Toc297048397"/>
      <w:bookmarkStart w:id="445" w:name="_Toc296346712"/>
      <w:bookmarkStart w:id="446" w:name="_Toc300935006"/>
      <w:bookmarkStart w:id="447" w:name="_Toc296944550"/>
      <w:bookmarkStart w:id="448" w:name="_Toc296891251"/>
      <w:bookmarkStart w:id="449" w:name="_Toc296503211"/>
      <w:bookmarkStart w:id="450" w:name="_Toc292559416"/>
      <w:bookmarkStart w:id="451" w:name="_Toc292559921"/>
      <w:bookmarkStart w:id="452" w:name="_Toc297120511"/>
      <w:bookmarkStart w:id="453" w:name="_Toc296347210"/>
      <w:bookmarkStart w:id="454" w:name="_Toc297123556"/>
      <w:r>
        <w:rPr>
          <w:rFonts w:hint="eastAsia" w:ascii="宋体" w:hAnsi="宋体" w:eastAsia="宋体" w:cs="宋体"/>
          <w:color w:val="auto"/>
          <w:sz w:val="24"/>
          <w:szCs w:val="24"/>
          <w:highlight w:val="none"/>
        </w:rPr>
        <w:t>12.4.1 付款周期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p>
    <w:p w14:paraId="6C29C0F4">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6BBEAD65">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执行通用条款</w:t>
      </w:r>
      <w:r>
        <w:rPr>
          <w:rFonts w:hint="eastAsia" w:ascii="宋体" w:hAnsi="宋体" w:eastAsia="宋体" w:cs="宋体"/>
          <w:color w:val="auto"/>
          <w:sz w:val="24"/>
          <w:szCs w:val="24"/>
          <w:highlight w:val="none"/>
        </w:rPr>
        <w:t>。</w:t>
      </w:r>
    </w:p>
    <w:p w14:paraId="43B5C7C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Pr>
          <w:rFonts w:hint="eastAsia" w:ascii="宋体" w:hAnsi="宋体" w:eastAsia="宋体" w:cs="宋体"/>
          <w:color w:val="auto"/>
          <w:sz w:val="24"/>
          <w:szCs w:val="24"/>
          <w:highlight w:val="none"/>
        </w:rPr>
        <w:t>2.4.3 进度付款申请单的提交</w:t>
      </w:r>
    </w:p>
    <w:p w14:paraId="01C41C3C">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p w14:paraId="51E41218">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0975C9C4">
      <w:pPr>
        <w:keepLines w:val="0"/>
        <w:pageBreakBefore w:val="0"/>
        <w:shd w:val="clear" w:color="auto" w:fill="auto"/>
        <w:kinsoku/>
        <w:wordWrap/>
        <w:overflowPunct/>
        <w:topLinePunct w:val="0"/>
        <w:bidi w:val="0"/>
        <w:snapToGrid/>
        <w:spacing w:line="360" w:lineRule="auto"/>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5DEEE16C">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3ED82AE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3天 </w:t>
      </w:r>
      <w:r>
        <w:rPr>
          <w:rFonts w:hint="eastAsia" w:ascii="宋体" w:hAnsi="宋体" w:eastAsia="宋体" w:cs="宋体"/>
          <w:color w:val="auto"/>
          <w:sz w:val="24"/>
          <w:szCs w:val="24"/>
          <w:highlight w:val="none"/>
        </w:rPr>
        <w:t>。</w:t>
      </w:r>
    </w:p>
    <w:p w14:paraId="773C21A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565FDCC3">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7A69C476">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7919A4A3">
      <w:pPr>
        <w:keepLines w:val="0"/>
        <w:pageBreakBefore w:val="0"/>
        <w:shd w:val="clear" w:color="auto" w:fill="auto"/>
        <w:kinsoku/>
        <w:wordWrap/>
        <w:overflowPunct/>
        <w:topLinePunct w:val="0"/>
        <w:bidi w:val="0"/>
        <w:snapToGrid/>
        <w:spacing w:line="360" w:lineRule="auto"/>
        <w:ind w:firstLine="600" w:firstLineChars="25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4F7131B3">
      <w:pPr>
        <w:keepLines w:val="0"/>
        <w:pageBreakBefore w:val="0"/>
        <w:shd w:val="clear" w:color="auto" w:fill="auto"/>
        <w:kinsoku/>
        <w:wordWrap/>
        <w:overflowPunct/>
        <w:topLinePunct w:val="0"/>
        <w:bidi w:val="0"/>
        <w:snapToGrid/>
        <w:spacing w:line="360" w:lineRule="auto"/>
        <w:ind w:firstLine="600" w:firstLineChars="25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47BD7C47">
      <w:pPr>
        <w:keepLines w:val="0"/>
        <w:pageBreakBefore w:val="0"/>
        <w:shd w:val="clear" w:color="auto" w:fill="auto"/>
        <w:kinsoku/>
        <w:wordWrap/>
        <w:overflowPunct/>
        <w:topLinePunct w:val="0"/>
        <w:bidi w:val="0"/>
        <w:snapToGrid/>
        <w:spacing w:line="360" w:lineRule="auto"/>
        <w:ind w:firstLine="600" w:firstLineChars="25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bookmarkEnd w:id="284"/>
    <w:p w14:paraId="0AC262CB">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lang w:val="en-US" w:eastAsia="zh-CN"/>
        </w:rPr>
      </w:pPr>
      <w:bookmarkStart w:id="455" w:name="_Toc351203645"/>
      <w:bookmarkStart w:id="456" w:name="_Toc297216223"/>
      <w:bookmarkStart w:id="457" w:name="_Toc304295593"/>
      <w:bookmarkStart w:id="458" w:name="_Toc300935015"/>
      <w:bookmarkStart w:id="459" w:name="_Toc296503219"/>
      <w:bookmarkStart w:id="460" w:name="_Toc296346720"/>
      <w:bookmarkStart w:id="461" w:name="_Toc297048405"/>
      <w:bookmarkStart w:id="462" w:name="_Toc292559424"/>
      <w:bookmarkStart w:id="463" w:name="_Toc296891047"/>
      <w:bookmarkStart w:id="464" w:name="_Toc312678053"/>
      <w:bookmarkStart w:id="465" w:name="_Toc303539172"/>
      <w:bookmarkStart w:id="466" w:name="_Toc297120519"/>
      <w:bookmarkStart w:id="467" w:name="_Toc292559929"/>
      <w:bookmarkStart w:id="468" w:name="_Toc296347218"/>
      <w:bookmarkStart w:id="469" w:name="_Toc296891259"/>
      <w:bookmarkStart w:id="470" w:name="_Toc297123564"/>
      <w:bookmarkStart w:id="471" w:name="_Toc296944558"/>
      <w:r>
        <w:rPr>
          <w:rFonts w:hint="eastAsia" w:ascii="宋体" w:hAnsi="宋体" w:eastAsia="宋体" w:cs="宋体"/>
          <w:color w:val="auto"/>
          <w:sz w:val="24"/>
          <w:szCs w:val="24"/>
          <w:highlight w:val="none"/>
          <w:lang w:val="en-US" w:eastAsia="zh-CN"/>
        </w:rPr>
        <w:t>13. 验收和工程试车</w:t>
      </w:r>
      <w:bookmarkEnd w:id="455"/>
    </w:p>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14:paraId="6595ED5D">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2716FDF6">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rPr>
        <w:t>小时提交书面延期要求。</w:t>
      </w:r>
    </w:p>
    <w:p w14:paraId="1BF7A6DA">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rPr>
        <w:t>小时。</w:t>
      </w:r>
    </w:p>
    <w:p w14:paraId="0D2FE9F3">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bookmarkStart w:id="472" w:name="_Toc292559428"/>
      <w:bookmarkStart w:id="473" w:name="_Toc312678056"/>
      <w:bookmarkStart w:id="474" w:name="_Toc297123565"/>
      <w:bookmarkStart w:id="475" w:name="_Toc296503223"/>
      <w:bookmarkStart w:id="476" w:name="_Toc300935016"/>
      <w:bookmarkStart w:id="477" w:name="_Toc297216224"/>
      <w:bookmarkStart w:id="478" w:name="_Toc296347222"/>
      <w:bookmarkStart w:id="479" w:name="_Toc296891051"/>
      <w:bookmarkStart w:id="480" w:name="_Toc292559933"/>
      <w:bookmarkStart w:id="481" w:name="_Toc297120523"/>
      <w:bookmarkStart w:id="482" w:name="_Toc297048409"/>
      <w:bookmarkStart w:id="483" w:name="_Toc296891263"/>
      <w:bookmarkStart w:id="484" w:name="_Toc304295596"/>
      <w:bookmarkStart w:id="485" w:name="_Toc296944562"/>
      <w:bookmarkStart w:id="486" w:name="_Toc303539173"/>
      <w:bookmarkStart w:id="487" w:name="_Toc296346724"/>
      <w:bookmarkStart w:id="488" w:name="_Toc267251470"/>
      <w:bookmarkStart w:id="489" w:name="_Toc267251472"/>
      <w:bookmarkStart w:id="490" w:name="_Toc267251476"/>
      <w:bookmarkStart w:id="491" w:name="_Toc267251474"/>
      <w:bookmarkStart w:id="492" w:name="_Toc267251475"/>
      <w:bookmarkStart w:id="493" w:name="_Toc267251471"/>
      <w:bookmarkStart w:id="494" w:name="_Toc267251473"/>
      <w:r>
        <w:rPr>
          <w:rFonts w:hint="eastAsia" w:ascii="宋体" w:hAnsi="宋体" w:eastAsia="宋体" w:cs="宋体"/>
          <w:color w:val="auto"/>
          <w:sz w:val="24"/>
          <w:szCs w:val="24"/>
          <w:highlight w:val="none"/>
        </w:rPr>
        <w:t>13.2 竣工验收</w:t>
      </w:r>
    </w:p>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14:paraId="19D28F9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bookmarkStart w:id="495" w:name="_Toc280868704"/>
      <w:bookmarkStart w:id="496" w:name="_Toc280868705"/>
      <w:bookmarkStart w:id="497" w:name="_Toc280868706"/>
      <w:bookmarkStart w:id="498" w:name="_Toc280868707"/>
      <w:bookmarkStart w:id="499" w:name="_Toc280868708"/>
      <w:bookmarkStart w:id="500" w:name="_Toc280868709"/>
      <w:r>
        <w:rPr>
          <w:rFonts w:hint="eastAsia" w:ascii="宋体" w:hAnsi="宋体" w:eastAsia="宋体" w:cs="宋体"/>
          <w:color w:val="auto"/>
          <w:sz w:val="24"/>
          <w:szCs w:val="24"/>
          <w:highlight w:val="none"/>
        </w:rPr>
        <w:t>13.2.2竣工验收程序</w:t>
      </w:r>
      <w:bookmarkEnd w:id="495"/>
    </w:p>
    <w:p w14:paraId="5BDB255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rPr>
        <w:t>工程具备竣工验收条件，承包人按国家工程竣工有关规定，向发包人提供完整竣工资料四份（均为原件）和竣工验收报告。承包人在发包人竣工验收批准后29天内向发包人提交竣工图四份。</w:t>
      </w:r>
    </w:p>
    <w:p w14:paraId="3BA7E6B2">
      <w:pPr>
        <w:keepLines w:val="0"/>
        <w:pageBreakBefore w:val="0"/>
        <w:shd w:val="clear" w:color="auto" w:fill="auto"/>
        <w:kinsoku/>
        <w:wordWrap/>
        <w:overflowPunct/>
        <w:topLinePunct w:val="0"/>
        <w:bidi w:val="0"/>
        <w:snapToGrid/>
        <w:spacing w:line="360" w:lineRule="auto"/>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496"/>
    <w:p w14:paraId="0D29FB40">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13.2.5移交、接收全部与部分工程</w:t>
      </w:r>
    </w:p>
    <w:bookmarkEnd w:id="497"/>
    <w:p w14:paraId="69BBA4E6">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sz w:val="24"/>
          <w:szCs w:val="24"/>
          <w:highlight w:val="none"/>
          <w:u w:val="single"/>
          <w:lang w:val="en-US" w:eastAsia="zh-CN"/>
        </w:rPr>
        <w:t>14天</w:t>
      </w:r>
      <w:r>
        <w:rPr>
          <w:rFonts w:hint="eastAsia" w:ascii="宋体" w:hAnsi="宋体" w:eastAsia="宋体" w:cs="宋体"/>
          <w:color w:val="auto"/>
          <w:sz w:val="24"/>
          <w:szCs w:val="24"/>
          <w:highlight w:val="none"/>
        </w:rPr>
        <w:t>。</w:t>
      </w:r>
    </w:p>
    <w:p w14:paraId="32DC0BC0">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End w:id="498"/>
    </w:p>
    <w:p w14:paraId="049DEAB0">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每逾期一天，承包人按合同价款的万分之五承担违约金</w:t>
      </w:r>
      <w:r>
        <w:rPr>
          <w:rFonts w:hint="eastAsia" w:ascii="宋体" w:hAnsi="宋体" w:eastAsia="宋体" w:cs="宋体"/>
          <w:color w:val="auto"/>
          <w:sz w:val="24"/>
          <w:szCs w:val="24"/>
          <w:highlight w:val="none"/>
        </w:rPr>
        <w:t>。</w:t>
      </w:r>
    </w:p>
    <w:p w14:paraId="448ACD48">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499"/>
    <w:p w14:paraId="474BAC16">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2FD73D4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kern w:val="0"/>
          <w:sz w:val="24"/>
          <w:szCs w:val="24"/>
          <w:highlight w:val="none"/>
          <w:u w:val="single"/>
        </w:rPr>
        <w:t>本合同承包范围内的试车内容，试车费用已包含在合同价款内</w:t>
      </w:r>
      <w:r>
        <w:rPr>
          <w:rFonts w:hint="eastAsia" w:ascii="宋体" w:hAnsi="宋体" w:eastAsia="宋体" w:cs="宋体"/>
          <w:color w:val="auto"/>
          <w:sz w:val="24"/>
          <w:szCs w:val="24"/>
          <w:highlight w:val="none"/>
        </w:rPr>
        <w:t>。</w:t>
      </w:r>
    </w:p>
    <w:p w14:paraId="4C190F77">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kern w:val="0"/>
          <w:sz w:val="24"/>
          <w:szCs w:val="24"/>
          <w:highlight w:val="none"/>
          <w:u w:val="single"/>
          <w:lang w:val="en-US" w:eastAsia="zh-CN"/>
        </w:rPr>
        <w:t>承包人</w:t>
      </w:r>
      <w:r>
        <w:rPr>
          <w:rFonts w:hint="eastAsia" w:ascii="宋体" w:hAnsi="宋体" w:eastAsia="宋体" w:cs="宋体"/>
          <w:color w:val="auto"/>
          <w:kern w:val="0"/>
          <w:sz w:val="24"/>
          <w:szCs w:val="24"/>
          <w:highlight w:val="none"/>
        </w:rPr>
        <w:t>承担；</w:t>
      </w:r>
    </w:p>
    <w:p w14:paraId="6CCBF35F">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kern w:val="0"/>
          <w:sz w:val="24"/>
          <w:szCs w:val="24"/>
          <w:highlight w:val="none"/>
          <w:u w:val="single"/>
          <w:lang w:val="en-US" w:eastAsia="zh-CN"/>
        </w:rPr>
        <w:t>承包人</w:t>
      </w:r>
      <w:r>
        <w:rPr>
          <w:rFonts w:hint="eastAsia" w:ascii="宋体" w:hAnsi="宋体" w:eastAsia="宋体" w:cs="宋体"/>
          <w:color w:val="auto"/>
          <w:kern w:val="0"/>
          <w:sz w:val="24"/>
          <w:szCs w:val="24"/>
          <w:highlight w:val="none"/>
        </w:rPr>
        <w:t>承担。</w:t>
      </w:r>
    </w:p>
    <w:p w14:paraId="336C79C8">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29AF788E">
      <w:pPr>
        <w:keepLines w:val="0"/>
        <w:pageBreakBefore w:val="0"/>
        <w:shd w:val="clear" w:color="auto" w:fill="auto"/>
        <w:kinsoku/>
        <w:wordWrap/>
        <w:overflowPunct/>
        <w:topLinePunct w:val="0"/>
        <w:bidi w:val="0"/>
        <w:snapToGrid/>
        <w:spacing w:line="360" w:lineRule="auto"/>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294C33DA">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p>
    <w:p w14:paraId="41667F69">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25749536">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kern w:val="0"/>
          <w:sz w:val="24"/>
          <w:szCs w:val="24"/>
          <w:highlight w:val="none"/>
          <w:u w:val="single"/>
        </w:rPr>
        <w:t>工程移交后7天内</w:t>
      </w:r>
      <w:r>
        <w:rPr>
          <w:rFonts w:hint="eastAsia" w:ascii="宋体" w:hAnsi="宋体" w:eastAsia="宋体" w:cs="宋体"/>
          <w:color w:val="auto"/>
          <w:kern w:val="0"/>
          <w:sz w:val="24"/>
          <w:szCs w:val="24"/>
          <w:highlight w:val="none"/>
        </w:rPr>
        <w:t>。</w:t>
      </w:r>
    </w:p>
    <w:p w14:paraId="01483B40">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lang w:val="en-US" w:eastAsia="zh-CN"/>
        </w:rPr>
      </w:pPr>
      <w:bookmarkStart w:id="501" w:name="_Toc351203646"/>
      <w:r>
        <w:rPr>
          <w:rFonts w:hint="eastAsia" w:ascii="宋体" w:hAnsi="宋体" w:eastAsia="宋体" w:cs="宋体"/>
          <w:color w:val="auto"/>
          <w:sz w:val="24"/>
          <w:szCs w:val="24"/>
          <w:highlight w:val="none"/>
          <w:lang w:val="en-US" w:eastAsia="zh-CN"/>
        </w:rPr>
        <w:t>14. 竣工结算</w:t>
      </w:r>
      <w:bookmarkEnd w:id="501"/>
    </w:p>
    <w:p w14:paraId="663960C7">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竣工结算申请</w:t>
      </w:r>
    </w:p>
    <w:p w14:paraId="1CA40B5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承包人提交竣工结算申请单的期限：</w:t>
      </w:r>
      <w:r>
        <w:rPr>
          <w:rFonts w:hint="eastAsia" w:ascii="宋体" w:hAnsi="宋体" w:eastAsia="宋体" w:cs="宋体"/>
          <w:color w:val="auto"/>
          <w:sz w:val="24"/>
          <w:szCs w:val="24"/>
          <w:highlight w:val="none"/>
          <w:u w:val="single"/>
        </w:rPr>
        <w:t>竣工结算工程量在竣工报告后21天内由承包人上报发包人</w:t>
      </w:r>
      <w:r>
        <w:rPr>
          <w:rFonts w:hint="eastAsia" w:ascii="宋体" w:hAnsi="宋体" w:eastAsia="宋体" w:cs="宋体"/>
          <w:color w:val="auto"/>
          <w:sz w:val="24"/>
          <w:szCs w:val="24"/>
          <w:highlight w:val="none"/>
        </w:rPr>
        <w:t>。</w:t>
      </w:r>
    </w:p>
    <w:p w14:paraId="2CF79E85">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竣工结算申请单应包括的内容：</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p w14:paraId="562CD000">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02F496F3">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7C4D69D">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从接到完整的竣工结算资料次日起30个工作日。发包人上级委托的第三方造价审计机构出具证实结算报告后15个工作日内支付完结竣工付款 。关于竣工付款证书异议部分复核的方式和程序：由发包人上级委托的第三方造价审计机构进行复核 </w:t>
      </w:r>
      <w:r>
        <w:rPr>
          <w:rFonts w:hint="eastAsia" w:ascii="宋体" w:hAnsi="宋体" w:eastAsia="宋体" w:cs="宋体"/>
          <w:color w:val="auto"/>
          <w:sz w:val="24"/>
          <w:szCs w:val="24"/>
          <w:highlight w:val="none"/>
        </w:rPr>
        <w:t>。</w:t>
      </w:r>
    </w:p>
    <w:p w14:paraId="0DF75027">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按照通用条款第20条〔争议解决〕约定处理</w:t>
      </w:r>
      <w:r>
        <w:rPr>
          <w:rFonts w:hint="eastAsia" w:ascii="宋体" w:hAnsi="宋体" w:eastAsia="宋体" w:cs="宋体"/>
          <w:color w:val="auto"/>
          <w:sz w:val="24"/>
          <w:szCs w:val="24"/>
          <w:highlight w:val="none"/>
        </w:rPr>
        <w:t>。</w:t>
      </w:r>
    </w:p>
    <w:p w14:paraId="7CFA026A">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265475B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0C82A0EB">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kern w:val="0"/>
          <w:sz w:val="24"/>
          <w:szCs w:val="24"/>
          <w:highlight w:val="none"/>
          <w:u w:val="single"/>
        </w:rPr>
        <w:t>3份</w:t>
      </w:r>
      <w:r>
        <w:rPr>
          <w:rFonts w:hint="eastAsia" w:ascii="宋体" w:hAnsi="宋体" w:eastAsia="宋体" w:cs="宋体"/>
          <w:color w:val="auto"/>
          <w:sz w:val="24"/>
          <w:szCs w:val="24"/>
          <w:highlight w:val="none"/>
        </w:rPr>
        <w:t>。</w:t>
      </w:r>
    </w:p>
    <w:p w14:paraId="3A3025E6">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kern w:val="0"/>
          <w:sz w:val="24"/>
          <w:szCs w:val="24"/>
          <w:highlight w:val="none"/>
          <w:u w:val="single"/>
        </w:rPr>
        <w:t>竣工验收合格后10日内</w:t>
      </w:r>
      <w:r>
        <w:rPr>
          <w:rFonts w:hint="eastAsia" w:ascii="宋体" w:hAnsi="宋体" w:eastAsia="宋体" w:cs="宋体"/>
          <w:color w:val="auto"/>
          <w:sz w:val="24"/>
          <w:szCs w:val="24"/>
          <w:highlight w:val="none"/>
        </w:rPr>
        <w:t xml:space="preserve">。 </w:t>
      </w:r>
    </w:p>
    <w:p w14:paraId="5135544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2D20179A">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p w14:paraId="688EA81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bookmarkEnd w:id="488"/>
    <w:bookmarkEnd w:id="489"/>
    <w:bookmarkEnd w:id="490"/>
    <w:bookmarkEnd w:id="491"/>
    <w:bookmarkEnd w:id="492"/>
    <w:bookmarkEnd w:id="493"/>
    <w:bookmarkEnd w:id="494"/>
    <w:bookmarkEnd w:id="500"/>
    <w:p w14:paraId="6A85D5B8">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lang w:val="en-US" w:eastAsia="zh-CN"/>
        </w:rPr>
      </w:pPr>
      <w:bookmarkStart w:id="502" w:name="_Toc351203647"/>
      <w:bookmarkStart w:id="503" w:name="_Toc267251483"/>
      <w:bookmarkStart w:id="504" w:name="_Toc267251482"/>
      <w:bookmarkStart w:id="505" w:name="_Toc267251484"/>
      <w:bookmarkStart w:id="506" w:name="_Toc267251485"/>
      <w:bookmarkStart w:id="507" w:name="_Toc267251488"/>
      <w:bookmarkStart w:id="508" w:name="_Toc267251490"/>
      <w:bookmarkStart w:id="509" w:name="_Toc267251486"/>
      <w:bookmarkStart w:id="510" w:name="_Toc267251489"/>
      <w:bookmarkStart w:id="511" w:name="_Toc267251491"/>
      <w:bookmarkStart w:id="512" w:name="_Toc267251493"/>
      <w:bookmarkStart w:id="513" w:name="_Toc267251496"/>
      <w:bookmarkStart w:id="514" w:name="_Toc267251502"/>
      <w:bookmarkStart w:id="515" w:name="_Toc267251492"/>
      <w:bookmarkStart w:id="516" w:name="_Toc267251501"/>
      <w:bookmarkStart w:id="517" w:name="_Toc267251495"/>
      <w:bookmarkStart w:id="518" w:name="_Toc267251494"/>
      <w:bookmarkStart w:id="519" w:name="_Toc267251497"/>
      <w:bookmarkStart w:id="520" w:name="_Toc267251499"/>
      <w:bookmarkStart w:id="521" w:name="_Toc267251503"/>
      <w:bookmarkStart w:id="522" w:name="_Toc267251498"/>
      <w:bookmarkStart w:id="523" w:name="_Toc267251504"/>
      <w:bookmarkStart w:id="524" w:name="_Toc267251506"/>
      <w:bookmarkStart w:id="525" w:name="_Toc267251507"/>
      <w:bookmarkStart w:id="526" w:name="_Toc267251508"/>
      <w:bookmarkStart w:id="527" w:name="_Toc267251514"/>
      <w:bookmarkStart w:id="528" w:name="_Toc267251510"/>
      <w:bookmarkStart w:id="529" w:name="_Toc267251511"/>
      <w:bookmarkStart w:id="530" w:name="_Toc267251513"/>
      <w:bookmarkStart w:id="531" w:name="_Toc267251509"/>
      <w:bookmarkStart w:id="532" w:name="_Toc267251515"/>
      <w:r>
        <w:rPr>
          <w:rFonts w:hint="eastAsia" w:ascii="宋体" w:hAnsi="宋体" w:eastAsia="宋体" w:cs="宋体"/>
          <w:color w:val="auto"/>
          <w:sz w:val="24"/>
          <w:szCs w:val="24"/>
          <w:highlight w:val="none"/>
          <w:lang w:val="en-US" w:eastAsia="zh-CN"/>
        </w:rPr>
        <w:t>15. 缺陷责任期与保修</w:t>
      </w:r>
      <w:bookmarkEnd w:id="502"/>
    </w:p>
    <w:p w14:paraId="28BA2E30">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503"/>
    </w:p>
    <w:p w14:paraId="1CA95E07">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自工程竣工之日起</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个月 </w:t>
      </w:r>
      <w:r>
        <w:rPr>
          <w:rFonts w:hint="eastAsia" w:ascii="宋体" w:hAnsi="宋体" w:eastAsia="宋体" w:cs="宋体"/>
          <w:color w:val="auto"/>
          <w:sz w:val="24"/>
          <w:szCs w:val="24"/>
          <w:highlight w:val="none"/>
        </w:rPr>
        <w:t>。</w:t>
      </w:r>
    </w:p>
    <w:p w14:paraId="142D7A4D">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质量保证金</w:t>
      </w:r>
    </w:p>
    <w:p w14:paraId="0ACDB5AD">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承包人提供质量保证金的方式</w:t>
      </w:r>
    </w:p>
    <w:p w14:paraId="340F1117">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3F0E2F5D">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44F5545A">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10144764">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055F53C9">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15.3.2 质量保证金的扣留 </w:t>
      </w:r>
    </w:p>
    <w:p w14:paraId="5787CF3D">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78E838E6">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64F2DDA8">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14:paraId="08DEF983">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553E6A0">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504"/>
    <w:bookmarkEnd w:id="505"/>
    <w:p w14:paraId="6C136734">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506"/>
    <w:p w14:paraId="28DD1495">
      <w:pPr>
        <w:keepLines w:val="0"/>
        <w:pageBreakBefore w:val="0"/>
        <w:shd w:val="clear" w:color="auto" w:fill="auto"/>
        <w:kinsoku/>
        <w:wordWrap/>
        <w:overflowPunct/>
        <w:topLinePunct w:val="0"/>
        <w:bidi w:val="0"/>
        <w:snapToGrid/>
        <w:spacing w:line="360" w:lineRule="auto"/>
        <w:ind w:firstLine="468" w:firstLineChars="195"/>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1369FDD4">
      <w:pPr>
        <w:keepLines w:val="0"/>
        <w:pageBreakBefore w:val="0"/>
        <w:shd w:val="clear" w:color="auto" w:fill="auto"/>
        <w:kinsoku/>
        <w:wordWrap/>
        <w:overflowPunct/>
        <w:topLinePunct w:val="0"/>
        <w:bidi w:val="0"/>
        <w:snapToGrid/>
        <w:spacing w:line="360" w:lineRule="auto"/>
        <w:ind w:firstLine="468" w:firstLineChars="195"/>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sz w:val="24"/>
          <w:szCs w:val="24"/>
          <w:highlight w:val="none"/>
          <w:u w:val="single"/>
        </w:rPr>
        <w:t>见承包方质量保修书</w:t>
      </w:r>
      <w:r>
        <w:rPr>
          <w:rFonts w:hint="eastAsia" w:ascii="宋体" w:hAnsi="宋体" w:eastAsia="宋体" w:cs="宋体"/>
          <w:color w:val="auto"/>
          <w:kern w:val="0"/>
          <w:sz w:val="24"/>
          <w:szCs w:val="24"/>
          <w:highlight w:val="none"/>
        </w:rPr>
        <w:t>。</w:t>
      </w:r>
    </w:p>
    <w:p w14:paraId="428E89D3">
      <w:pPr>
        <w:keepLines w:val="0"/>
        <w:pageBreakBefore w:val="0"/>
        <w:shd w:val="clear" w:color="auto" w:fill="auto"/>
        <w:kinsoku/>
        <w:wordWrap/>
        <w:overflowPunct/>
        <w:topLinePunct w:val="0"/>
        <w:bidi w:val="0"/>
        <w:snapToGrid/>
        <w:spacing w:line="360" w:lineRule="auto"/>
        <w:ind w:firstLine="468" w:firstLineChars="195"/>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6F06BF1E">
      <w:pPr>
        <w:keepLines w:val="0"/>
        <w:pageBreakBefore w:val="0"/>
        <w:shd w:val="clear" w:color="auto" w:fill="auto"/>
        <w:kinsoku/>
        <w:wordWrap/>
        <w:overflowPunct/>
        <w:topLinePunct w:val="0"/>
        <w:bidi w:val="0"/>
        <w:snapToGrid/>
        <w:spacing w:line="360" w:lineRule="auto"/>
        <w:ind w:firstLine="468" w:firstLineChars="195"/>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kern w:val="0"/>
          <w:sz w:val="24"/>
          <w:szCs w:val="24"/>
          <w:highlight w:val="none"/>
          <w:u w:val="single"/>
        </w:rPr>
        <w:t>2小时答复，24小时内到现场处理</w:t>
      </w:r>
      <w:r>
        <w:rPr>
          <w:rFonts w:hint="eastAsia" w:ascii="宋体" w:hAnsi="宋体" w:eastAsia="宋体" w:cs="宋体"/>
          <w:color w:val="auto"/>
          <w:kern w:val="0"/>
          <w:sz w:val="24"/>
          <w:szCs w:val="24"/>
          <w:highlight w:val="none"/>
        </w:rPr>
        <w:t>。</w:t>
      </w:r>
    </w:p>
    <w:bookmarkEnd w:id="507"/>
    <w:bookmarkEnd w:id="508"/>
    <w:bookmarkEnd w:id="509"/>
    <w:bookmarkEnd w:id="510"/>
    <w:p w14:paraId="2580EAA1">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lang w:val="en-US" w:eastAsia="zh-CN"/>
        </w:rPr>
      </w:pPr>
      <w:bookmarkStart w:id="533" w:name="_Toc351203648"/>
      <w:bookmarkStart w:id="534" w:name="_Toc280868717"/>
      <w:bookmarkStart w:id="535" w:name="_Toc280868718"/>
      <w:r>
        <w:rPr>
          <w:rFonts w:hint="eastAsia" w:ascii="宋体" w:hAnsi="宋体" w:eastAsia="宋体" w:cs="宋体"/>
          <w:color w:val="auto"/>
          <w:sz w:val="24"/>
          <w:szCs w:val="24"/>
          <w:highlight w:val="none"/>
          <w:lang w:val="en-US" w:eastAsia="zh-CN"/>
        </w:rPr>
        <w:t>16. 违约</w:t>
      </w:r>
      <w:bookmarkEnd w:id="533"/>
    </w:p>
    <w:p w14:paraId="71D2BA09">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发包人违约</w:t>
      </w:r>
    </w:p>
    <w:p w14:paraId="342050C8">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6EAD1B1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执行通用条款</w:t>
      </w:r>
      <w:r>
        <w:rPr>
          <w:rFonts w:hint="eastAsia" w:ascii="宋体" w:hAnsi="宋体" w:eastAsia="宋体" w:cs="宋体"/>
          <w:color w:val="auto"/>
          <w:kern w:val="0"/>
          <w:sz w:val="24"/>
          <w:szCs w:val="24"/>
          <w:highlight w:val="none"/>
        </w:rPr>
        <w:t>。</w:t>
      </w:r>
    </w:p>
    <w:p w14:paraId="6DD48D66">
      <w:pPr>
        <w:keepLines w:val="0"/>
        <w:pageBreakBefore w:val="0"/>
        <w:shd w:val="clear" w:color="auto" w:fill="auto"/>
        <w:kinsoku/>
        <w:wordWrap/>
        <w:overflowPunct/>
        <w:topLinePunct w:val="0"/>
        <w:bidi w:val="0"/>
        <w:snapToGrid/>
        <w:spacing w:line="360" w:lineRule="auto"/>
        <w:ind w:left="1500" w:hanging="1200" w:hangingChars="5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78AE844D">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49ADC8F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工期顺延</w:t>
      </w:r>
      <w:r>
        <w:rPr>
          <w:rFonts w:hint="eastAsia" w:ascii="宋体" w:hAnsi="宋体" w:eastAsia="宋体" w:cs="宋体"/>
          <w:color w:val="auto"/>
          <w:kern w:val="0"/>
          <w:sz w:val="24"/>
          <w:szCs w:val="24"/>
          <w:highlight w:val="none"/>
        </w:rPr>
        <w:t>。</w:t>
      </w:r>
    </w:p>
    <w:p w14:paraId="15891B50">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rPr>
        <w:t>。</w:t>
      </w:r>
    </w:p>
    <w:p w14:paraId="500AAECA">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无</w:t>
      </w:r>
      <w:r>
        <w:rPr>
          <w:rFonts w:hint="eastAsia" w:ascii="宋体" w:hAnsi="宋体" w:eastAsia="宋体" w:cs="宋体"/>
          <w:color w:val="auto"/>
          <w:kern w:val="0"/>
          <w:sz w:val="24"/>
          <w:szCs w:val="24"/>
          <w:highlight w:val="none"/>
        </w:rPr>
        <w:t>。</w:t>
      </w:r>
    </w:p>
    <w:p w14:paraId="1E20A2BD">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工期顺延</w:t>
      </w:r>
      <w:r>
        <w:rPr>
          <w:rFonts w:hint="eastAsia" w:ascii="宋体" w:hAnsi="宋体" w:eastAsia="宋体" w:cs="宋体"/>
          <w:color w:val="auto"/>
          <w:kern w:val="0"/>
          <w:sz w:val="24"/>
          <w:szCs w:val="24"/>
          <w:highlight w:val="none"/>
        </w:rPr>
        <w:t>。</w:t>
      </w:r>
    </w:p>
    <w:p w14:paraId="5948BEEB">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工期顺延</w:t>
      </w:r>
      <w:r>
        <w:rPr>
          <w:rFonts w:hint="eastAsia" w:ascii="宋体" w:hAnsi="宋体" w:eastAsia="宋体" w:cs="宋体"/>
          <w:color w:val="auto"/>
          <w:kern w:val="0"/>
          <w:sz w:val="24"/>
          <w:szCs w:val="24"/>
          <w:highlight w:val="none"/>
        </w:rPr>
        <w:t>。</w:t>
      </w:r>
    </w:p>
    <w:p w14:paraId="1439BF12">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工期顺延</w:t>
      </w:r>
      <w:r>
        <w:rPr>
          <w:rFonts w:hint="eastAsia" w:ascii="宋体" w:hAnsi="宋体" w:eastAsia="宋体" w:cs="宋体"/>
          <w:color w:val="auto"/>
          <w:kern w:val="0"/>
          <w:sz w:val="24"/>
          <w:szCs w:val="24"/>
          <w:highlight w:val="none"/>
        </w:rPr>
        <w:t>。</w:t>
      </w:r>
    </w:p>
    <w:p w14:paraId="369DCE63">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5847159">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1C60884C">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lang w:val="en-US" w:eastAsia="zh-CN"/>
        </w:rPr>
        <w:t>28</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1A69F04F">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14:paraId="43C40432">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29A5658D">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sz w:val="24"/>
          <w:szCs w:val="24"/>
          <w:highlight w:val="none"/>
          <w:u w:val="single"/>
        </w:rPr>
        <w:t>（1）擅自变更项目经理；（2）无正当理由且未经发包人许可擅自停工；（3）合同条款规定的其他情形 。</w:t>
      </w:r>
    </w:p>
    <w:p w14:paraId="6D85F439">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w:t>
      </w:r>
      <w:r>
        <w:rPr>
          <w:rFonts w:hint="eastAsia" w:ascii="宋体" w:hAnsi="宋体" w:eastAsia="宋体" w:cs="宋体"/>
          <w:color w:val="auto"/>
          <w:kern w:val="0"/>
          <w:sz w:val="24"/>
          <w:szCs w:val="24"/>
          <w:highlight w:val="none"/>
          <w:u w:val="single"/>
        </w:rPr>
        <w:t>工程质量等级经建筑工程质量监督部门核查为合格工程，不奖不罚；若达不到合格工程标准，由</w:t>
      </w:r>
      <w:r>
        <w:rPr>
          <w:rFonts w:hint="eastAsia" w:ascii="宋体" w:hAnsi="宋体" w:eastAsia="宋体" w:cs="宋体"/>
          <w:color w:val="auto"/>
          <w:sz w:val="24"/>
          <w:szCs w:val="24"/>
          <w:highlight w:val="none"/>
          <w:u w:val="single"/>
        </w:rPr>
        <w:t>承包人自费</w:t>
      </w:r>
      <w:r>
        <w:rPr>
          <w:rFonts w:hint="eastAsia" w:ascii="宋体" w:hAnsi="宋体" w:eastAsia="宋体" w:cs="宋体"/>
          <w:color w:val="auto"/>
          <w:kern w:val="0"/>
          <w:sz w:val="24"/>
          <w:szCs w:val="24"/>
          <w:highlight w:val="none"/>
          <w:u w:val="single"/>
        </w:rPr>
        <w:t>修复达到合格标准；</w:t>
      </w:r>
      <w:r>
        <w:rPr>
          <w:rFonts w:hint="eastAsia" w:ascii="宋体" w:hAnsi="宋体" w:eastAsia="宋体" w:cs="宋体"/>
          <w:color w:val="auto"/>
          <w:sz w:val="24"/>
          <w:szCs w:val="24"/>
          <w:highlight w:val="none"/>
          <w:u w:val="single"/>
        </w:rPr>
        <w:t>工程质量达不到约定标准，承包人向发包人偿付不达标部分造价5%的违约金并无偿返修，直至重新通过验收，承包人应负责返工所发生的所有费用，所延误的工期不得顺延。如一再返修仍不能通过验收的，则发包人有权终止合同，承包人应赔偿发包人由此引起的一切损失。</w:t>
      </w:r>
    </w:p>
    <w:p w14:paraId="65BFA489">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（3）承包人管理混乱，用料规格质量不符合要求或安装质量差，经发包人指出不改正的，发包人有权终止合同，由此造成的一切经济损失由承包人承担。</w:t>
      </w:r>
    </w:p>
    <w:p w14:paraId="6EEE69E1">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（4）承包人如不能按期完成进度，发包人有权调动其他施工队伍对发包人认为合适的本工程任何一部分工程进行施工，费用以2倍的结算价格从承包人的合同价款中扣除。</w:t>
      </w:r>
    </w:p>
    <w:p w14:paraId="0BA223D8">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5）若因承包人原因或因工程质量不合格导致工程事故发生，承包人除承担上述违约金及承担工程事故责任外，给发包人造成损失的，还应赔偿发包人损失。承包人确保按照施工组织设计方案进行组织施工。如发包人、监理工程师在检查中发现承包人未按施工方案进行施工对工程质量造成重大影响，发包人、监理工程师有权下发停工令并视情节严重程度给予每次20000元以下的违约金处罚，承包人应支付违约金并负责无条件整改到位。 </w:t>
      </w:r>
    </w:p>
    <w:p w14:paraId="5DC5F2E4">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（6）承包人到位的人员及设备配置必须和投标书施工组织设计所列人员及设备配置相符，未经发包人同意，不得随意更换，否则视为承包人违约，发包人有权解除合同，由此造成的一切经济损失由承包人承担。</w:t>
      </w:r>
    </w:p>
    <w:p w14:paraId="110FE77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u w:val="single"/>
        </w:rPr>
        <w:t>（7）若因承包人原因导致施工现场管理达不到约定文明工地标准，则承包人应向发包人支付违约金5万人民币</w:t>
      </w:r>
      <w:r>
        <w:rPr>
          <w:rFonts w:hint="eastAsia" w:ascii="宋体" w:hAnsi="宋体" w:eastAsia="宋体" w:cs="宋体"/>
          <w:color w:val="auto"/>
          <w:kern w:val="0"/>
          <w:sz w:val="24"/>
          <w:szCs w:val="24"/>
          <w:highlight w:val="none"/>
        </w:rPr>
        <w:t>。</w:t>
      </w:r>
    </w:p>
    <w:p w14:paraId="45F4A046">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2F8A5AB8">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w:t>
      </w:r>
      <w:r>
        <w:rPr>
          <w:rFonts w:hint="eastAsia" w:ascii="宋体" w:hAnsi="宋体" w:eastAsia="宋体" w:cs="宋体"/>
          <w:color w:val="auto"/>
          <w:sz w:val="24"/>
          <w:szCs w:val="24"/>
          <w:highlight w:val="none"/>
          <w:u w:val="none"/>
        </w:rPr>
        <w:t>包人违约责任的承担方式和计算方法：</w:t>
      </w:r>
      <w:r>
        <w:rPr>
          <w:rFonts w:hint="eastAsia" w:ascii="宋体" w:hAnsi="宋体" w:eastAsia="宋体" w:cs="宋体"/>
          <w:color w:val="auto"/>
          <w:sz w:val="24"/>
          <w:szCs w:val="24"/>
          <w:highlight w:val="none"/>
          <w:u w:val="single"/>
        </w:rPr>
        <w:t xml:space="preserve">（1）分部分项工程质量达不到合格标准，承包人应按照求整改合格，并承担1万元/次违约金；（2）确保现场劳务人员基本权益及时按月发放薪酬，若发生讨薪投诉事件，承包人承担5000元/次的违约金；（3）承包人没有按照开工前申报发包人进度计划实施建设的，发包人有权对承包人收取1000元/天的违约金；（4）以上违约金应在承包人当期进度款中扣除。    </w:t>
      </w:r>
    </w:p>
    <w:p w14:paraId="2649F12B">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76C489FB">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kern w:val="0"/>
          <w:sz w:val="24"/>
          <w:szCs w:val="24"/>
          <w:highlight w:val="none"/>
          <w:u w:val="single"/>
        </w:rPr>
        <w:t>（1）承包人未按照双方确认的施工组织计划组织施工；（2）承包人所施工的分部分项工程两次质监站验收不合格；（3）承包人未按照合同约定及时移交工程和满足备案要求的完整竣工资料，逾期超过30日；（4）承包人欠付农民工工资、劳务费、材料款等，导致相关人员围堵发包人工地或办公场所1天以上；（5）项目经理不能胜任本职工作，承包人接到发包人更换项目经理书面通知7日内拒绝更换；（6）承包人违反本合同约定义务，经发包人书面催告后在限期内未改正的。</w:t>
      </w:r>
    </w:p>
    <w:p w14:paraId="17124381">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免费使用</w:t>
      </w:r>
      <w:r>
        <w:rPr>
          <w:rFonts w:hint="eastAsia" w:ascii="宋体" w:hAnsi="宋体" w:eastAsia="宋体" w:cs="宋体"/>
          <w:color w:val="auto"/>
          <w:kern w:val="0"/>
          <w:sz w:val="24"/>
          <w:szCs w:val="24"/>
          <w:highlight w:val="none"/>
        </w:rPr>
        <w:t>。</w:t>
      </w:r>
    </w:p>
    <w:p w14:paraId="129EAB11">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lang w:val="en-US" w:eastAsia="zh-CN"/>
        </w:rPr>
      </w:pPr>
      <w:bookmarkStart w:id="536" w:name="_Toc351203649"/>
      <w:r>
        <w:rPr>
          <w:rFonts w:hint="eastAsia" w:ascii="宋体" w:hAnsi="宋体" w:eastAsia="宋体" w:cs="宋体"/>
          <w:color w:val="auto"/>
          <w:sz w:val="24"/>
          <w:szCs w:val="24"/>
          <w:highlight w:val="none"/>
          <w:lang w:val="en-US" w:eastAsia="zh-CN"/>
        </w:rPr>
        <w:t>17. 不可抗力</w:t>
      </w:r>
      <w:bookmarkEnd w:id="536"/>
      <w:r>
        <w:rPr>
          <w:rFonts w:hint="eastAsia" w:ascii="宋体" w:hAnsi="宋体" w:eastAsia="宋体" w:cs="宋体"/>
          <w:color w:val="auto"/>
          <w:sz w:val="24"/>
          <w:szCs w:val="24"/>
          <w:highlight w:val="none"/>
          <w:lang w:val="en-US" w:eastAsia="zh-CN"/>
        </w:rPr>
        <w:t xml:space="preserve"> </w:t>
      </w:r>
      <w:bookmarkEnd w:id="534"/>
    </w:p>
    <w:p w14:paraId="1DF39570">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0C72473A">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sz w:val="24"/>
          <w:szCs w:val="24"/>
          <w:highlight w:val="none"/>
          <w:u w:val="single"/>
        </w:rPr>
        <w:t>正常年份的风、雨、雪、雾天气不属于不可抗力；一个有经验的承包商应当能够估计到的自然气候、环境（制约）变化的影响，不做为不可抗力因素对待；新冠疫情以及政府部门发出的有碍于施工的临时性指令可按不可抗力因素对待；由于发生30年以上一遇的降雨引起的洪水灾害、雪灾造成对工程的影响，经国家有关部门鉴定后可按不可抗力因素对待；发生破坏性地震的属于不可抗力因素</w:t>
      </w:r>
      <w:r>
        <w:rPr>
          <w:rFonts w:hint="eastAsia" w:ascii="宋体" w:hAnsi="宋体" w:eastAsia="宋体" w:cs="宋体"/>
          <w:color w:val="auto"/>
          <w:kern w:val="0"/>
          <w:sz w:val="24"/>
          <w:szCs w:val="24"/>
          <w:highlight w:val="none"/>
        </w:rPr>
        <w:t>。</w:t>
      </w:r>
    </w:p>
    <w:p w14:paraId="6A1D5D2D">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 因不可抗力解除合同</w:t>
      </w:r>
    </w:p>
    <w:p w14:paraId="7D073865">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lang w:val="en-US" w:eastAsia="zh-CN"/>
        </w:rPr>
        <w:t>28</w:t>
      </w:r>
      <w:r>
        <w:rPr>
          <w:rFonts w:hint="eastAsia" w:ascii="宋体" w:hAnsi="宋体" w:eastAsia="宋体" w:cs="宋体"/>
          <w:color w:val="auto"/>
          <w:sz w:val="24"/>
          <w:szCs w:val="24"/>
          <w:highlight w:val="none"/>
        </w:rPr>
        <w:t>天内完成款项的支付。</w:t>
      </w:r>
    </w:p>
    <w:p w14:paraId="6E24EDD0">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lang w:val="en-US" w:eastAsia="zh-CN"/>
        </w:rPr>
      </w:pPr>
      <w:bookmarkStart w:id="537" w:name="_Toc351203650"/>
      <w:r>
        <w:rPr>
          <w:rFonts w:hint="eastAsia" w:ascii="宋体" w:hAnsi="宋体" w:eastAsia="宋体" w:cs="宋体"/>
          <w:color w:val="auto"/>
          <w:sz w:val="24"/>
          <w:szCs w:val="24"/>
          <w:highlight w:val="none"/>
          <w:lang w:val="en-US" w:eastAsia="zh-CN"/>
        </w:rPr>
        <w:t>18. 保险</w:t>
      </w:r>
      <w:bookmarkEnd w:id="537"/>
    </w:p>
    <w:bookmarkEnd w:id="535"/>
    <w:p w14:paraId="365BBE42">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709FD37F">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sz w:val="24"/>
          <w:szCs w:val="24"/>
          <w:highlight w:val="none"/>
          <w:u w:val="single"/>
        </w:rPr>
        <w:t>工程一切险和第三者责任险发包人委托由承包人直接购买，费用包含于合同总价款中</w:t>
      </w:r>
      <w:r>
        <w:rPr>
          <w:rFonts w:hint="eastAsia" w:ascii="宋体" w:hAnsi="宋体" w:eastAsia="宋体" w:cs="宋体"/>
          <w:color w:val="auto"/>
          <w:kern w:val="0"/>
          <w:sz w:val="24"/>
          <w:szCs w:val="24"/>
          <w:highlight w:val="none"/>
        </w:rPr>
        <w:t>。</w:t>
      </w:r>
    </w:p>
    <w:p w14:paraId="3DBEE30A">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 其他保险</w:t>
      </w:r>
    </w:p>
    <w:p w14:paraId="2E5BCA2F">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sz w:val="24"/>
          <w:szCs w:val="24"/>
          <w:highlight w:val="none"/>
          <w:u w:val="single"/>
        </w:rPr>
        <w:t>失业、医疗、工伤、残疾人就业保险等保险费，已包含在合同总价款中。本合同保险费已由发包人委托承包人投保，保险费已包含在合同总价款中</w:t>
      </w:r>
      <w:r>
        <w:rPr>
          <w:rFonts w:hint="eastAsia" w:ascii="宋体" w:hAnsi="宋体" w:eastAsia="宋体" w:cs="宋体"/>
          <w:color w:val="auto"/>
          <w:kern w:val="0"/>
          <w:sz w:val="24"/>
          <w:szCs w:val="24"/>
          <w:highlight w:val="none"/>
        </w:rPr>
        <w:t>。</w:t>
      </w:r>
    </w:p>
    <w:p w14:paraId="0F35E4D8">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执行通用条款</w:t>
      </w:r>
      <w:r>
        <w:rPr>
          <w:rFonts w:hint="eastAsia" w:ascii="宋体" w:hAnsi="宋体" w:eastAsia="宋体" w:cs="宋体"/>
          <w:color w:val="auto"/>
          <w:sz w:val="24"/>
          <w:szCs w:val="24"/>
          <w:highlight w:val="none"/>
        </w:rPr>
        <w:t>。</w:t>
      </w:r>
    </w:p>
    <w:p w14:paraId="5778D44F">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20DE3F8C">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kern w:val="0"/>
          <w:sz w:val="24"/>
          <w:szCs w:val="24"/>
          <w:highlight w:val="none"/>
          <w:u w:val="single"/>
        </w:rPr>
        <w:t>无</w:t>
      </w:r>
      <w:r>
        <w:rPr>
          <w:rFonts w:hint="eastAsia" w:ascii="宋体" w:hAnsi="宋体" w:eastAsia="宋体" w:cs="宋体"/>
          <w:color w:val="auto"/>
          <w:sz w:val="24"/>
          <w:szCs w:val="24"/>
          <w:highlight w:val="none"/>
        </w:rPr>
        <w:t>。</w:t>
      </w:r>
    </w:p>
    <w:bookmarkEnd w:id="511"/>
    <w:bookmarkEnd w:id="512"/>
    <w:bookmarkEnd w:id="513"/>
    <w:bookmarkEnd w:id="514"/>
    <w:bookmarkEnd w:id="515"/>
    <w:bookmarkEnd w:id="516"/>
    <w:bookmarkEnd w:id="517"/>
    <w:bookmarkEnd w:id="518"/>
    <w:bookmarkEnd w:id="519"/>
    <w:bookmarkEnd w:id="520"/>
    <w:bookmarkEnd w:id="521"/>
    <w:bookmarkEnd w:id="522"/>
    <w:p w14:paraId="00B848AA">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lang w:val="en-US" w:eastAsia="zh-CN"/>
        </w:rPr>
      </w:pPr>
      <w:bookmarkStart w:id="538" w:name="_Toc351203651"/>
      <w:r>
        <w:rPr>
          <w:rFonts w:hint="eastAsia" w:ascii="宋体" w:hAnsi="宋体" w:eastAsia="宋体" w:cs="宋体"/>
          <w:color w:val="auto"/>
          <w:sz w:val="24"/>
          <w:szCs w:val="24"/>
          <w:highlight w:val="none"/>
          <w:lang w:val="en-US" w:eastAsia="zh-CN"/>
        </w:rPr>
        <w:t>20. 争议解决</w:t>
      </w:r>
      <w:bookmarkEnd w:id="538"/>
    </w:p>
    <w:bookmarkEnd w:id="523"/>
    <w:bookmarkEnd w:id="524"/>
    <w:p w14:paraId="1F430E2D">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 争</w:t>
      </w:r>
      <w:bookmarkEnd w:id="525"/>
      <w:r>
        <w:rPr>
          <w:rFonts w:hint="eastAsia" w:ascii="宋体" w:hAnsi="宋体" w:eastAsia="宋体" w:cs="宋体"/>
          <w:color w:val="auto"/>
          <w:sz w:val="24"/>
          <w:szCs w:val="24"/>
          <w:highlight w:val="none"/>
        </w:rPr>
        <w:t>议评审</w:t>
      </w:r>
    </w:p>
    <w:p w14:paraId="377675CA">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lang w:val="en-US" w:eastAsia="zh-CN"/>
        </w:rPr>
        <w:t>否</w:t>
      </w:r>
      <w:r>
        <w:rPr>
          <w:rFonts w:hint="eastAsia" w:ascii="宋体" w:hAnsi="宋体" w:eastAsia="宋体" w:cs="宋体"/>
          <w:color w:val="auto"/>
          <w:sz w:val="24"/>
          <w:szCs w:val="24"/>
          <w:highlight w:val="none"/>
        </w:rPr>
        <w:t xml:space="preserve">。  </w:t>
      </w:r>
    </w:p>
    <w:p w14:paraId="59896413">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 争议评审小组的确定</w:t>
      </w:r>
    </w:p>
    <w:p w14:paraId="64A28A54">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308DD12">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2A6745">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81E7A7E">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B443FB">
      <w:pPr>
        <w:keepLines w:val="0"/>
        <w:pageBreakBefore w:val="0"/>
        <w:shd w:val="clear" w:color="auto" w:fill="auto"/>
        <w:kinsoku/>
        <w:wordWrap/>
        <w:overflowPunct/>
        <w:topLinePunct w:val="0"/>
        <w:autoSpaceDE w:val="0"/>
        <w:autoSpaceDN w:val="0"/>
        <w:bidi w:val="0"/>
        <w:adjustRightInd w:val="0"/>
        <w:snapToGrid/>
        <w:spacing w:line="360" w:lineRule="auto"/>
        <w:ind w:firstLine="480" w:firstLineChars="200"/>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27134877">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1676360">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20.4仲裁或诉讼</w:t>
      </w:r>
      <w:bookmarkEnd w:id="526"/>
    </w:p>
    <w:p w14:paraId="412732E7">
      <w:pPr>
        <w:keepLines w:val="0"/>
        <w:pageBreakBefore w:val="0"/>
        <w:shd w:val="clear" w:color="auto" w:fill="auto"/>
        <w:kinsoku/>
        <w:wordWrap/>
        <w:overflowPunct/>
        <w:topLinePunct w:val="0"/>
        <w:bidi w:val="0"/>
        <w:snapToGrid/>
        <w:spacing w:after="120"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4720F648">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16061C55">
      <w:pPr>
        <w:keepLines w:val="0"/>
        <w:pageBreakBefore w:val="0"/>
        <w:shd w:val="clear" w:color="auto" w:fill="auto"/>
        <w:kinsoku/>
        <w:wordWrap/>
        <w:overflowPunct/>
        <w:topLinePunct w:val="0"/>
        <w:bidi w:val="0"/>
        <w:snapToGrid/>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发包人所在地</w:t>
      </w:r>
      <w:r>
        <w:rPr>
          <w:rFonts w:hint="eastAsia" w:ascii="宋体" w:hAnsi="宋体" w:eastAsia="宋体" w:cs="宋体"/>
          <w:color w:val="auto"/>
          <w:sz w:val="24"/>
          <w:szCs w:val="24"/>
          <w:highlight w:val="none"/>
        </w:rPr>
        <w:t>人民法院起诉。</w:t>
      </w:r>
      <w:bookmarkEnd w:id="527"/>
      <w:bookmarkEnd w:id="528"/>
      <w:bookmarkEnd w:id="529"/>
      <w:bookmarkEnd w:id="530"/>
      <w:bookmarkEnd w:id="531"/>
      <w:bookmarkEnd w:id="532"/>
    </w:p>
    <w:p w14:paraId="23A8F430">
      <w:pPr>
        <w:keepLines w:val="0"/>
        <w:pageBreakBefore w:val="0"/>
        <w:shd w:val="clear" w:color="auto" w:fill="auto"/>
        <w:kinsoku/>
        <w:wordWrap/>
        <w:overflowPunct/>
        <w:topLinePunct w:val="0"/>
        <w:bidi w:val="0"/>
        <w:snapToGrid/>
        <w:spacing w:before="156" w:beforeLines="50" w:after="156" w:afterLines="50" w:line="360" w:lineRule="auto"/>
        <w:jc w:val="left"/>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szCs w:val="24"/>
          <w:highlight w:val="none"/>
        </w:rPr>
        <w:t>附件1：</w:t>
      </w:r>
    </w:p>
    <w:p w14:paraId="0647DB78">
      <w:pPr>
        <w:keepLines w:val="0"/>
        <w:pageBreakBefore w:val="0"/>
        <w:shd w:val="clear" w:color="auto" w:fill="auto"/>
        <w:kinsoku/>
        <w:wordWrap/>
        <w:overflowPunct/>
        <w:topLinePunct w:val="0"/>
        <w:bidi w:val="0"/>
        <w:snapToGrid/>
        <w:spacing w:before="156" w:beforeLines="50" w:after="156" w:afterLines="50"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承包人承揽工程项目一览表</w:t>
      </w:r>
    </w:p>
    <w:tbl>
      <w:tblPr>
        <w:tblStyle w:val="6"/>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2"/>
        <w:gridCol w:w="1259"/>
        <w:gridCol w:w="968"/>
        <w:gridCol w:w="1647"/>
        <w:gridCol w:w="581"/>
        <w:gridCol w:w="1066"/>
        <w:gridCol w:w="1453"/>
        <w:gridCol w:w="968"/>
        <w:gridCol w:w="581"/>
        <w:gridCol w:w="581"/>
      </w:tblGrid>
      <w:tr w14:paraId="56FFA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20" w:hRule="atLeast"/>
        </w:trPr>
        <w:tc>
          <w:tcPr>
            <w:tcW w:w="872" w:type="dxa"/>
            <w:tcBorders>
              <w:top w:val="single" w:color="auto" w:sz="12" w:space="0"/>
              <w:bottom w:val="double" w:color="auto" w:sz="6" w:space="0"/>
            </w:tcBorders>
            <w:noWrap w:val="0"/>
            <w:vAlign w:val="center"/>
          </w:tcPr>
          <w:p w14:paraId="27C177E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单位工程名称</w:t>
            </w:r>
          </w:p>
        </w:tc>
        <w:tc>
          <w:tcPr>
            <w:tcW w:w="1259" w:type="dxa"/>
            <w:tcBorders>
              <w:top w:val="single" w:color="auto" w:sz="12" w:space="0"/>
              <w:bottom w:val="double" w:color="auto" w:sz="6" w:space="0"/>
            </w:tcBorders>
            <w:noWrap w:val="0"/>
            <w:vAlign w:val="center"/>
          </w:tcPr>
          <w:p w14:paraId="281F2604">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建设规模</w:t>
            </w:r>
          </w:p>
        </w:tc>
        <w:tc>
          <w:tcPr>
            <w:tcW w:w="968" w:type="dxa"/>
            <w:tcBorders>
              <w:top w:val="single" w:color="auto" w:sz="12" w:space="0"/>
              <w:bottom w:val="double" w:color="auto" w:sz="6" w:space="0"/>
            </w:tcBorders>
            <w:noWrap w:val="0"/>
            <w:vAlign w:val="center"/>
          </w:tcPr>
          <w:p w14:paraId="4AAAB51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建筑面积(平方米)</w:t>
            </w:r>
          </w:p>
        </w:tc>
        <w:tc>
          <w:tcPr>
            <w:tcW w:w="1647" w:type="dxa"/>
            <w:tcBorders>
              <w:top w:val="single" w:color="auto" w:sz="12" w:space="0"/>
              <w:bottom w:val="double" w:color="auto" w:sz="6" w:space="0"/>
            </w:tcBorders>
            <w:noWrap w:val="0"/>
            <w:vAlign w:val="center"/>
          </w:tcPr>
          <w:p w14:paraId="7ABE0EEB">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结构形式</w:t>
            </w:r>
          </w:p>
        </w:tc>
        <w:tc>
          <w:tcPr>
            <w:tcW w:w="581" w:type="dxa"/>
            <w:tcBorders>
              <w:top w:val="single" w:color="auto" w:sz="12" w:space="0"/>
              <w:bottom w:val="double" w:color="auto" w:sz="6" w:space="0"/>
            </w:tcBorders>
            <w:noWrap w:val="0"/>
            <w:vAlign w:val="center"/>
          </w:tcPr>
          <w:p w14:paraId="22ABC5AD">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层数</w:t>
            </w:r>
          </w:p>
        </w:tc>
        <w:tc>
          <w:tcPr>
            <w:tcW w:w="1066" w:type="dxa"/>
            <w:tcBorders>
              <w:top w:val="single" w:color="auto" w:sz="12" w:space="0"/>
              <w:bottom w:val="double" w:color="auto" w:sz="6" w:space="0"/>
            </w:tcBorders>
            <w:noWrap w:val="0"/>
            <w:vAlign w:val="center"/>
          </w:tcPr>
          <w:p w14:paraId="33D4AE0D">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生产能力</w:t>
            </w:r>
          </w:p>
        </w:tc>
        <w:tc>
          <w:tcPr>
            <w:tcW w:w="1453" w:type="dxa"/>
            <w:tcBorders>
              <w:top w:val="single" w:color="auto" w:sz="12" w:space="0"/>
              <w:bottom w:val="double" w:color="auto" w:sz="6" w:space="0"/>
            </w:tcBorders>
            <w:noWrap w:val="0"/>
            <w:vAlign w:val="center"/>
          </w:tcPr>
          <w:p w14:paraId="579A391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设备安装内容</w:t>
            </w:r>
          </w:p>
        </w:tc>
        <w:tc>
          <w:tcPr>
            <w:tcW w:w="968" w:type="dxa"/>
            <w:tcBorders>
              <w:top w:val="single" w:color="auto" w:sz="12" w:space="0"/>
              <w:bottom w:val="double" w:color="auto" w:sz="6" w:space="0"/>
            </w:tcBorders>
            <w:noWrap w:val="0"/>
            <w:vAlign w:val="center"/>
          </w:tcPr>
          <w:p w14:paraId="2BD117E1">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合同价格（元）</w:t>
            </w:r>
          </w:p>
        </w:tc>
        <w:tc>
          <w:tcPr>
            <w:tcW w:w="581" w:type="dxa"/>
            <w:tcBorders>
              <w:top w:val="single" w:color="auto" w:sz="12" w:space="0"/>
              <w:bottom w:val="double" w:color="auto" w:sz="6" w:space="0"/>
            </w:tcBorders>
            <w:noWrap w:val="0"/>
            <w:vAlign w:val="center"/>
          </w:tcPr>
          <w:p w14:paraId="51D1D607">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开工日期</w:t>
            </w:r>
          </w:p>
        </w:tc>
        <w:tc>
          <w:tcPr>
            <w:tcW w:w="581" w:type="dxa"/>
            <w:tcBorders>
              <w:top w:val="single" w:color="auto" w:sz="12" w:space="0"/>
              <w:bottom w:val="double" w:color="auto" w:sz="6" w:space="0"/>
            </w:tcBorders>
            <w:noWrap w:val="0"/>
            <w:vAlign w:val="center"/>
          </w:tcPr>
          <w:p w14:paraId="295DDF5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竣工日期</w:t>
            </w:r>
          </w:p>
        </w:tc>
      </w:tr>
      <w:tr w14:paraId="0A8ADF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7" w:hRule="atLeast"/>
        </w:trPr>
        <w:tc>
          <w:tcPr>
            <w:tcW w:w="872" w:type="dxa"/>
            <w:tcBorders>
              <w:top w:val="double" w:color="auto" w:sz="6" w:space="0"/>
              <w:bottom w:val="single" w:color="auto" w:sz="6" w:space="0"/>
            </w:tcBorders>
            <w:noWrap w:val="0"/>
            <w:vAlign w:val="center"/>
          </w:tcPr>
          <w:p w14:paraId="39AE113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59" w:type="dxa"/>
            <w:tcBorders>
              <w:top w:val="double" w:color="auto" w:sz="6" w:space="0"/>
              <w:bottom w:val="single" w:color="auto" w:sz="6" w:space="0"/>
            </w:tcBorders>
            <w:noWrap w:val="0"/>
            <w:vAlign w:val="center"/>
          </w:tcPr>
          <w:p w14:paraId="74A0A0DE">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tcBorders>
              <w:top w:val="double" w:color="auto" w:sz="6" w:space="0"/>
              <w:bottom w:val="single" w:color="auto" w:sz="6" w:space="0"/>
            </w:tcBorders>
            <w:noWrap w:val="0"/>
            <w:vAlign w:val="center"/>
          </w:tcPr>
          <w:p w14:paraId="776335F8">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647" w:type="dxa"/>
            <w:tcBorders>
              <w:top w:val="double" w:color="auto" w:sz="6" w:space="0"/>
              <w:bottom w:val="single" w:color="auto" w:sz="6" w:space="0"/>
            </w:tcBorders>
            <w:noWrap w:val="0"/>
            <w:vAlign w:val="center"/>
          </w:tcPr>
          <w:p w14:paraId="1EDAA934">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double" w:color="auto" w:sz="6" w:space="0"/>
              <w:bottom w:val="single" w:color="auto" w:sz="6" w:space="0"/>
            </w:tcBorders>
            <w:noWrap w:val="0"/>
            <w:vAlign w:val="center"/>
          </w:tcPr>
          <w:p w14:paraId="36E14EC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66" w:type="dxa"/>
            <w:tcBorders>
              <w:top w:val="double" w:color="auto" w:sz="6" w:space="0"/>
              <w:bottom w:val="single" w:color="auto" w:sz="6" w:space="0"/>
            </w:tcBorders>
            <w:noWrap w:val="0"/>
            <w:vAlign w:val="center"/>
          </w:tcPr>
          <w:p w14:paraId="5BD7DB7B">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53" w:type="dxa"/>
            <w:tcBorders>
              <w:top w:val="double" w:color="auto" w:sz="6" w:space="0"/>
              <w:bottom w:val="single" w:color="auto" w:sz="6" w:space="0"/>
            </w:tcBorders>
            <w:noWrap w:val="0"/>
            <w:vAlign w:val="center"/>
          </w:tcPr>
          <w:p w14:paraId="0C887C84">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tcBorders>
              <w:top w:val="double" w:color="auto" w:sz="6" w:space="0"/>
              <w:bottom w:val="single" w:color="auto" w:sz="6" w:space="0"/>
            </w:tcBorders>
            <w:noWrap w:val="0"/>
            <w:vAlign w:val="center"/>
          </w:tcPr>
          <w:p w14:paraId="07852804">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double" w:color="auto" w:sz="6" w:space="0"/>
              <w:bottom w:val="single" w:color="auto" w:sz="6" w:space="0"/>
            </w:tcBorders>
            <w:noWrap w:val="0"/>
            <w:vAlign w:val="center"/>
          </w:tcPr>
          <w:p w14:paraId="7D9C54F7">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double" w:color="auto" w:sz="6" w:space="0"/>
              <w:bottom w:val="single" w:color="auto" w:sz="6" w:space="0"/>
            </w:tcBorders>
            <w:noWrap w:val="0"/>
            <w:vAlign w:val="center"/>
          </w:tcPr>
          <w:p w14:paraId="1B1BAEBE">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69A871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7" w:hRule="atLeast"/>
        </w:trPr>
        <w:tc>
          <w:tcPr>
            <w:tcW w:w="872" w:type="dxa"/>
            <w:tcBorders>
              <w:top w:val="nil"/>
            </w:tcBorders>
            <w:noWrap w:val="0"/>
            <w:vAlign w:val="center"/>
          </w:tcPr>
          <w:p w14:paraId="26BA3C02">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59" w:type="dxa"/>
            <w:tcBorders>
              <w:top w:val="nil"/>
            </w:tcBorders>
            <w:noWrap w:val="0"/>
            <w:vAlign w:val="center"/>
          </w:tcPr>
          <w:p w14:paraId="0E9A5743">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tcBorders>
              <w:top w:val="nil"/>
            </w:tcBorders>
            <w:noWrap w:val="0"/>
            <w:vAlign w:val="center"/>
          </w:tcPr>
          <w:p w14:paraId="4FFF71ED">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647" w:type="dxa"/>
            <w:tcBorders>
              <w:top w:val="nil"/>
            </w:tcBorders>
            <w:noWrap w:val="0"/>
            <w:vAlign w:val="center"/>
          </w:tcPr>
          <w:p w14:paraId="4689D7B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38A65524">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66" w:type="dxa"/>
            <w:tcBorders>
              <w:top w:val="nil"/>
            </w:tcBorders>
            <w:noWrap w:val="0"/>
            <w:vAlign w:val="center"/>
          </w:tcPr>
          <w:p w14:paraId="5460F87E">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53" w:type="dxa"/>
            <w:tcBorders>
              <w:top w:val="nil"/>
            </w:tcBorders>
            <w:noWrap w:val="0"/>
            <w:vAlign w:val="center"/>
          </w:tcPr>
          <w:p w14:paraId="4A8DD194">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tcBorders>
              <w:top w:val="nil"/>
            </w:tcBorders>
            <w:noWrap w:val="0"/>
            <w:vAlign w:val="center"/>
          </w:tcPr>
          <w:p w14:paraId="0CB316E1">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51526AE8">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00009BE7">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06711B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7" w:hRule="atLeast"/>
        </w:trPr>
        <w:tc>
          <w:tcPr>
            <w:tcW w:w="872" w:type="dxa"/>
            <w:tcBorders>
              <w:top w:val="nil"/>
            </w:tcBorders>
            <w:noWrap w:val="0"/>
            <w:vAlign w:val="center"/>
          </w:tcPr>
          <w:p w14:paraId="768AB37B">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59" w:type="dxa"/>
            <w:tcBorders>
              <w:top w:val="nil"/>
            </w:tcBorders>
            <w:noWrap w:val="0"/>
            <w:vAlign w:val="center"/>
          </w:tcPr>
          <w:p w14:paraId="09671007">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tcBorders>
              <w:top w:val="nil"/>
            </w:tcBorders>
            <w:noWrap w:val="0"/>
            <w:vAlign w:val="center"/>
          </w:tcPr>
          <w:p w14:paraId="7C63797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647" w:type="dxa"/>
            <w:tcBorders>
              <w:top w:val="nil"/>
            </w:tcBorders>
            <w:noWrap w:val="0"/>
            <w:vAlign w:val="center"/>
          </w:tcPr>
          <w:p w14:paraId="4C95F041">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1B93983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66" w:type="dxa"/>
            <w:tcBorders>
              <w:top w:val="nil"/>
            </w:tcBorders>
            <w:noWrap w:val="0"/>
            <w:vAlign w:val="center"/>
          </w:tcPr>
          <w:p w14:paraId="1003FA4D">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53" w:type="dxa"/>
            <w:tcBorders>
              <w:top w:val="nil"/>
            </w:tcBorders>
            <w:noWrap w:val="0"/>
            <w:vAlign w:val="center"/>
          </w:tcPr>
          <w:p w14:paraId="12C1865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tcBorders>
              <w:top w:val="nil"/>
            </w:tcBorders>
            <w:noWrap w:val="0"/>
            <w:vAlign w:val="center"/>
          </w:tcPr>
          <w:p w14:paraId="0A1C290A">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04B3C084">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7A73510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48E61A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7" w:hRule="atLeast"/>
        </w:trPr>
        <w:tc>
          <w:tcPr>
            <w:tcW w:w="872" w:type="dxa"/>
            <w:noWrap w:val="0"/>
            <w:vAlign w:val="center"/>
          </w:tcPr>
          <w:p w14:paraId="39DD395A">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59" w:type="dxa"/>
            <w:noWrap w:val="0"/>
            <w:vAlign w:val="center"/>
          </w:tcPr>
          <w:p w14:paraId="3AB319E8">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noWrap w:val="0"/>
            <w:vAlign w:val="center"/>
          </w:tcPr>
          <w:p w14:paraId="077EEF7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647" w:type="dxa"/>
            <w:noWrap w:val="0"/>
            <w:vAlign w:val="center"/>
          </w:tcPr>
          <w:p w14:paraId="03237A58">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noWrap w:val="0"/>
            <w:vAlign w:val="center"/>
          </w:tcPr>
          <w:p w14:paraId="38C92E4B">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66" w:type="dxa"/>
            <w:noWrap w:val="0"/>
            <w:vAlign w:val="center"/>
          </w:tcPr>
          <w:p w14:paraId="416ADD7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53" w:type="dxa"/>
            <w:noWrap w:val="0"/>
            <w:vAlign w:val="center"/>
          </w:tcPr>
          <w:p w14:paraId="0E018FCD">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noWrap w:val="0"/>
            <w:vAlign w:val="center"/>
          </w:tcPr>
          <w:p w14:paraId="237812F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noWrap w:val="0"/>
            <w:vAlign w:val="center"/>
          </w:tcPr>
          <w:p w14:paraId="27473942">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noWrap w:val="0"/>
            <w:vAlign w:val="center"/>
          </w:tcPr>
          <w:p w14:paraId="0D93D9F8">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79EA9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7" w:hRule="atLeast"/>
        </w:trPr>
        <w:tc>
          <w:tcPr>
            <w:tcW w:w="872" w:type="dxa"/>
            <w:tcBorders>
              <w:top w:val="nil"/>
            </w:tcBorders>
            <w:noWrap w:val="0"/>
            <w:vAlign w:val="center"/>
          </w:tcPr>
          <w:p w14:paraId="3C11768D">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59" w:type="dxa"/>
            <w:tcBorders>
              <w:top w:val="nil"/>
            </w:tcBorders>
            <w:noWrap w:val="0"/>
            <w:vAlign w:val="center"/>
          </w:tcPr>
          <w:p w14:paraId="40A8EDC9">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tcBorders>
              <w:top w:val="nil"/>
            </w:tcBorders>
            <w:noWrap w:val="0"/>
            <w:vAlign w:val="center"/>
          </w:tcPr>
          <w:p w14:paraId="64F455A1">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647" w:type="dxa"/>
            <w:tcBorders>
              <w:top w:val="nil"/>
            </w:tcBorders>
            <w:noWrap w:val="0"/>
            <w:vAlign w:val="center"/>
          </w:tcPr>
          <w:p w14:paraId="18DCCAE8">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01494850">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66" w:type="dxa"/>
            <w:tcBorders>
              <w:top w:val="nil"/>
            </w:tcBorders>
            <w:noWrap w:val="0"/>
            <w:vAlign w:val="center"/>
          </w:tcPr>
          <w:p w14:paraId="589126F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53" w:type="dxa"/>
            <w:tcBorders>
              <w:top w:val="nil"/>
            </w:tcBorders>
            <w:noWrap w:val="0"/>
            <w:vAlign w:val="center"/>
          </w:tcPr>
          <w:p w14:paraId="2032299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tcBorders>
              <w:top w:val="nil"/>
            </w:tcBorders>
            <w:noWrap w:val="0"/>
            <w:vAlign w:val="center"/>
          </w:tcPr>
          <w:p w14:paraId="49DBEDD4">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11ED9198">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485EDD5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61583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7" w:hRule="atLeast"/>
        </w:trPr>
        <w:tc>
          <w:tcPr>
            <w:tcW w:w="872" w:type="dxa"/>
            <w:noWrap w:val="0"/>
            <w:vAlign w:val="center"/>
          </w:tcPr>
          <w:p w14:paraId="6F0230F0">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59" w:type="dxa"/>
            <w:noWrap w:val="0"/>
            <w:vAlign w:val="center"/>
          </w:tcPr>
          <w:p w14:paraId="7AD52D38">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noWrap w:val="0"/>
            <w:vAlign w:val="center"/>
          </w:tcPr>
          <w:p w14:paraId="2BCA2309">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647" w:type="dxa"/>
            <w:noWrap w:val="0"/>
            <w:vAlign w:val="center"/>
          </w:tcPr>
          <w:p w14:paraId="1138463B">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noWrap w:val="0"/>
            <w:vAlign w:val="center"/>
          </w:tcPr>
          <w:p w14:paraId="35DB51E3">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66" w:type="dxa"/>
            <w:noWrap w:val="0"/>
            <w:vAlign w:val="center"/>
          </w:tcPr>
          <w:p w14:paraId="74168991">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53" w:type="dxa"/>
            <w:noWrap w:val="0"/>
            <w:vAlign w:val="center"/>
          </w:tcPr>
          <w:p w14:paraId="10F8F4A1">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noWrap w:val="0"/>
            <w:vAlign w:val="center"/>
          </w:tcPr>
          <w:p w14:paraId="59E9BC2A">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noWrap w:val="0"/>
            <w:vAlign w:val="center"/>
          </w:tcPr>
          <w:p w14:paraId="08049613">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noWrap w:val="0"/>
            <w:vAlign w:val="center"/>
          </w:tcPr>
          <w:p w14:paraId="3A631AB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5635B4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7" w:hRule="atLeast"/>
        </w:trPr>
        <w:tc>
          <w:tcPr>
            <w:tcW w:w="872" w:type="dxa"/>
            <w:tcBorders>
              <w:top w:val="nil"/>
            </w:tcBorders>
            <w:noWrap w:val="0"/>
            <w:vAlign w:val="center"/>
          </w:tcPr>
          <w:p w14:paraId="6D264749">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59" w:type="dxa"/>
            <w:tcBorders>
              <w:top w:val="nil"/>
            </w:tcBorders>
            <w:noWrap w:val="0"/>
            <w:vAlign w:val="center"/>
          </w:tcPr>
          <w:p w14:paraId="5918BA84">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tcBorders>
              <w:top w:val="nil"/>
            </w:tcBorders>
            <w:noWrap w:val="0"/>
            <w:vAlign w:val="center"/>
          </w:tcPr>
          <w:p w14:paraId="430ECC57">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647" w:type="dxa"/>
            <w:tcBorders>
              <w:top w:val="nil"/>
            </w:tcBorders>
            <w:noWrap w:val="0"/>
            <w:vAlign w:val="center"/>
          </w:tcPr>
          <w:p w14:paraId="583EFCC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336075C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66" w:type="dxa"/>
            <w:tcBorders>
              <w:top w:val="nil"/>
            </w:tcBorders>
            <w:noWrap w:val="0"/>
            <w:vAlign w:val="center"/>
          </w:tcPr>
          <w:p w14:paraId="1C9D9844">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53" w:type="dxa"/>
            <w:tcBorders>
              <w:top w:val="nil"/>
            </w:tcBorders>
            <w:noWrap w:val="0"/>
            <w:vAlign w:val="center"/>
          </w:tcPr>
          <w:p w14:paraId="03FFA4B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tcBorders>
              <w:top w:val="nil"/>
            </w:tcBorders>
            <w:noWrap w:val="0"/>
            <w:vAlign w:val="center"/>
          </w:tcPr>
          <w:p w14:paraId="6E65BF3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3FB54F47">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27E57C7A">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7A2F7A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7" w:hRule="atLeast"/>
        </w:trPr>
        <w:tc>
          <w:tcPr>
            <w:tcW w:w="872" w:type="dxa"/>
            <w:tcBorders>
              <w:top w:val="nil"/>
            </w:tcBorders>
            <w:noWrap w:val="0"/>
            <w:vAlign w:val="center"/>
          </w:tcPr>
          <w:p w14:paraId="6E8BC67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59" w:type="dxa"/>
            <w:tcBorders>
              <w:top w:val="nil"/>
            </w:tcBorders>
            <w:noWrap w:val="0"/>
            <w:vAlign w:val="center"/>
          </w:tcPr>
          <w:p w14:paraId="248E1D71">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tcBorders>
              <w:top w:val="nil"/>
            </w:tcBorders>
            <w:noWrap w:val="0"/>
            <w:vAlign w:val="center"/>
          </w:tcPr>
          <w:p w14:paraId="4BE40E8B">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647" w:type="dxa"/>
            <w:tcBorders>
              <w:top w:val="nil"/>
            </w:tcBorders>
            <w:noWrap w:val="0"/>
            <w:vAlign w:val="center"/>
          </w:tcPr>
          <w:p w14:paraId="51E73598">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6FEF2930">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66" w:type="dxa"/>
            <w:tcBorders>
              <w:top w:val="nil"/>
            </w:tcBorders>
            <w:noWrap w:val="0"/>
            <w:vAlign w:val="center"/>
          </w:tcPr>
          <w:p w14:paraId="509320B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53" w:type="dxa"/>
            <w:tcBorders>
              <w:top w:val="nil"/>
            </w:tcBorders>
            <w:noWrap w:val="0"/>
            <w:vAlign w:val="center"/>
          </w:tcPr>
          <w:p w14:paraId="51F42647">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tcBorders>
              <w:top w:val="nil"/>
            </w:tcBorders>
            <w:noWrap w:val="0"/>
            <w:vAlign w:val="center"/>
          </w:tcPr>
          <w:p w14:paraId="0BC3DCC2">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2BBCC92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tcBorders>
              <w:top w:val="nil"/>
            </w:tcBorders>
            <w:noWrap w:val="0"/>
            <w:vAlign w:val="center"/>
          </w:tcPr>
          <w:p w14:paraId="25A3B1DE">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2C26CC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7" w:hRule="atLeast"/>
        </w:trPr>
        <w:tc>
          <w:tcPr>
            <w:tcW w:w="872" w:type="dxa"/>
            <w:noWrap w:val="0"/>
            <w:vAlign w:val="center"/>
          </w:tcPr>
          <w:p w14:paraId="510CB25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59" w:type="dxa"/>
            <w:noWrap w:val="0"/>
            <w:vAlign w:val="center"/>
          </w:tcPr>
          <w:p w14:paraId="1AE26032">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noWrap w:val="0"/>
            <w:vAlign w:val="center"/>
          </w:tcPr>
          <w:p w14:paraId="7DB59F50">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647" w:type="dxa"/>
            <w:noWrap w:val="0"/>
            <w:vAlign w:val="center"/>
          </w:tcPr>
          <w:p w14:paraId="4B1EED11">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noWrap w:val="0"/>
            <w:vAlign w:val="center"/>
          </w:tcPr>
          <w:p w14:paraId="243905DE">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66" w:type="dxa"/>
            <w:noWrap w:val="0"/>
            <w:vAlign w:val="center"/>
          </w:tcPr>
          <w:p w14:paraId="31E18932">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53" w:type="dxa"/>
            <w:noWrap w:val="0"/>
            <w:vAlign w:val="center"/>
          </w:tcPr>
          <w:p w14:paraId="5784031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noWrap w:val="0"/>
            <w:vAlign w:val="center"/>
          </w:tcPr>
          <w:p w14:paraId="4426FA77">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noWrap w:val="0"/>
            <w:vAlign w:val="center"/>
          </w:tcPr>
          <w:p w14:paraId="460AB66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noWrap w:val="0"/>
            <w:vAlign w:val="center"/>
          </w:tcPr>
          <w:p w14:paraId="1634B3E0">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62C896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7" w:hRule="atLeast"/>
        </w:trPr>
        <w:tc>
          <w:tcPr>
            <w:tcW w:w="872" w:type="dxa"/>
            <w:noWrap w:val="0"/>
            <w:vAlign w:val="center"/>
          </w:tcPr>
          <w:p w14:paraId="7DC2A1CE">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59" w:type="dxa"/>
            <w:noWrap w:val="0"/>
            <w:vAlign w:val="center"/>
          </w:tcPr>
          <w:p w14:paraId="17DE243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noWrap w:val="0"/>
            <w:vAlign w:val="center"/>
          </w:tcPr>
          <w:p w14:paraId="607FD130">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647" w:type="dxa"/>
            <w:noWrap w:val="0"/>
            <w:vAlign w:val="center"/>
          </w:tcPr>
          <w:p w14:paraId="7E79AC23">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noWrap w:val="0"/>
            <w:vAlign w:val="center"/>
          </w:tcPr>
          <w:p w14:paraId="0223426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66" w:type="dxa"/>
            <w:noWrap w:val="0"/>
            <w:vAlign w:val="center"/>
          </w:tcPr>
          <w:p w14:paraId="486F9573">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53" w:type="dxa"/>
            <w:noWrap w:val="0"/>
            <w:vAlign w:val="center"/>
          </w:tcPr>
          <w:p w14:paraId="5059F98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68" w:type="dxa"/>
            <w:noWrap w:val="0"/>
            <w:vAlign w:val="center"/>
          </w:tcPr>
          <w:p w14:paraId="5C83635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noWrap w:val="0"/>
            <w:vAlign w:val="center"/>
          </w:tcPr>
          <w:p w14:paraId="7450673E">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581" w:type="dxa"/>
            <w:noWrap w:val="0"/>
            <w:vAlign w:val="center"/>
          </w:tcPr>
          <w:p w14:paraId="74C3C63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bl>
    <w:p w14:paraId="3428A4EE">
      <w:pPr>
        <w:keepLines w:val="0"/>
        <w:pageBreakBefore w:val="0"/>
        <w:shd w:val="clear" w:color="auto" w:fill="auto"/>
        <w:kinsoku/>
        <w:wordWrap/>
        <w:overflowPunct/>
        <w:topLinePunct w:val="0"/>
        <w:bidi w:val="0"/>
        <w:snapToGrid/>
        <w:spacing w:line="360" w:lineRule="auto"/>
        <w:rPr>
          <w:rFonts w:hint="eastAsia" w:ascii="宋体" w:hAnsi="宋体" w:eastAsia="宋体" w:cs="宋体"/>
          <w:b/>
          <w:color w:val="auto"/>
          <w:sz w:val="24"/>
          <w:szCs w:val="24"/>
          <w:highlight w:val="none"/>
        </w:rPr>
        <w:sectPr>
          <w:headerReference r:id="rId7" w:type="first"/>
          <w:footerReference r:id="rId9" w:type="first"/>
          <w:headerReference r:id="rId6" w:type="default"/>
          <w:footerReference r:id="rId8" w:type="default"/>
          <w:pgSz w:w="11906" w:h="16838"/>
          <w:pgMar w:top="1418" w:right="1531" w:bottom="1418" w:left="1134" w:header="851" w:footer="1077" w:gutter="0"/>
          <w:pgNumType w:fmt="decimal"/>
          <w:cols w:space="720" w:num="1"/>
          <w:docGrid w:type="linesAndChars" w:linePitch="312" w:charSpace="0"/>
        </w:sectPr>
      </w:pPr>
      <w:r>
        <w:rPr>
          <w:rFonts w:hint="eastAsia" w:ascii="宋体" w:hAnsi="宋体" w:eastAsia="宋体" w:cs="宋体"/>
          <w:b/>
          <w:color w:val="auto"/>
          <w:sz w:val="24"/>
          <w:szCs w:val="24"/>
          <w:highlight w:val="none"/>
        </w:rPr>
        <w:t xml:space="preserve">   </w:t>
      </w:r>
    </w:p>
    <w:p w14:paraId="59CDA75F">
      <w:pPr>
        <w:keepLines w:val="0"/>
        <w:pageBreakBefore w:val="0"/>
        <w:shd w:val="clear" w:color="auto" w:fill="auto"/>
        <w:kinsoku/>
        <w:wordWrap/>
        <w:overflowPunct/>
        <w:topLinePunct w:val="0"/>
        <w:bidi w:val="0"/>
        <w:snapToGrid/>
        <w:spacing w:before="156" w:beforeLines="50" w:after="156" w:afterLines="50"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附</w:t>
      </w:r>
      <w:bookmarkStart w:id="539" w:name="_Toc296944564"/>
      <w:bookmarkStart w:id="540" w:name="_Toc296347224"/>
      <w:bookmarkStart w:id="541" w:name="_Toc296503225"/>
      <w:bookmarkStart w:id="542" w:name="_Toc296891265"/>
      <w:bookmarkStart w:id="543" w:name="_Toc296346726"/>
      <w:bookmarkStart w:id="544" w:name="_Toc296891053"/>
      <w:bookmarkStart w:id="545" w:name="_Toc267261692"/>
      <w:r>
        <w:rPr>
          <w:rFonts w:hint="eastAsia" w:ascii="宋体" w:hAnsi="宋体" w:eastAsia="宋体" w:cs="宋体"/>
          <w:b/>
          <w:bCs/>
          <w:color w:val="auto"/>
          <w:sz w:val="24"/>
          <w:szCs w:val="24"/>
          <w:highlight w:val="none"/>
        </w:rPr>
        <w:t>件2：</w:t>
      </w:r>
    </w:p>
    <w:bookmarkEnd w:id="539"/>
    <w:bookmarkEnd w:id="540"/>
    <w:bookmarkEnd w:id="541"/>
    <w:bookmarkEnd w:id="542"/>
    <w:bookmarkEnd w:id="543"/>
    <w:bookmarkEnd w:id="544"/>
    <w:bookmarkEnd w:id="545"/>
    <w:p w14:paraId="3B2A6AB7">
      <w:pPr>
        <w:keepLines w:val="0"/>
        <w:pageBreakBefore w:val="0"/>
        <w:shd w:val="clear" w:color="auto" w:fill="auto"/>
        <w:kinsoku/>
        <w:wordWrap/>
        <w:overflowPunct/>
        <w:topLinePunct w:val="0"/>
        <w:bidi w:val="0"/>
        <w:snapToGrid/>
        <w:spacing w:before="120" w:beforeLines="50" w:after="120" w:afterLines="50"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发包人供应材料设备一览表</w:t>
      </w:r>
    </w:p>
    <w:tbl>
      <w:tblPr>
        <w:tblStyle w:val="6"/>
        <w:tblW w:w="1031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20"/>
        <w:gridCol w:w="1230"/>
        <w:gridCol w:w="1367"/>
        <w:gridCol w:w="906"/>
        <w:gridCol w:w="820"/>
        <w:gridCol w:w="1006"/>
        <w:gridCol w:w="956"/>
        <w:gridCol w:w="820"/>
        <w:gridCol w:w="1433"/>
        <w:gridCol w:w="956"/>
      </w:tblGrid>
      <w:tr w14:paraId="0A7A53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69" w:hRule="atLeast"/>
          <w:jc w:val="center"/>
        </w:trPr>
        <w:tc>
          <w:tcPr>
            <w:tcW w:w="820" w:type="dxa"/>
            <w:tcBorders>
              <w:top w:val="single" w:color="auto" w:sz="12" w:space="0"/>
              <w:bottom w:val="double" w:color="auto" w:sz="6" w:space="0"/>
            </w:tcBorders>
            <w:noWrap w:val="0"/>
            <w:vAlign w:val="center"/>
          </w:tcPr>
          <w:p w14:paraId="2AB2C3C3">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230" w:type="dxa"/>
            <w:tcBorders>
              <w:top w:val="single" w:color="auto" w:sz="12" w:space="0"/>
              <w:bottom w:val="double" w:color="auto" w:sz="6" w:space="0"/>
            </w:tcBorders>
            <w:noWrap w:val="0"/>
            <w:vAlign w:val="center"/>
          </w:tcPr>
          <w:p w14:paraId="2E4C77A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材料、</w:t>
            </w:r>
          </w:p>
          <w:p w14:paraId="51DB54AC">
            <w:pPr>
              <w:keepNext/>
              <w:keepLines w:val="0"/>
              <w:pageBreakBefore w:val="0"/>
              <w:shd w:val="clear" w:color="auto" w:fill="auto"/>
              <w:kinsoku/>
              <w:wordWrap/>
              <w:overflowPunct/>
              <w:topLinePunct w:val="0"/>
              <w:bidi w:val="0"/>
              <w:adjustRightInd w:val="0"/>
              <w:snapToGrid/>
              <w:spacing w:line="360" w:lineRule="auto"/>
              <w:ind w:right="63" w:rightChars="3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设备品种</w:t>
            </w:r>
          </w:p>
        </w:tc>
        <w:tc>
          <w:tcPr>
            <w:tcW w:w="1367" w:type="dxa"/>
            <w:tcBorders>
              <w:top w:val="single" w:color="auto" w:sz="12" w:space="0"/>
              <w:bottom w:val="double" w:color="auto" w:sz="6" w:space="0"/>
            </w:tcBorders>
            <w:noWrap w:val="0"/>
            <w:vAlign w:val="center"/>
          </w:tcPr>
          <w:p w14:paraId="160C8E73">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规格型号</w:t>
            </w:r>
          </w:p>
        </w:tc>
        <w:tc>
          <w:tcPr>
            <w:tcW w:w="906" w:type="dxa"/>
            <w:tcBorders>
              <w:top w:val="single" w:color="auto" w:sz="12" w:space="0"/>
              <w:bottom w:val="double" w:color="auto" w:sz="6" w:space="0"/>
            </w:tcBorders>
            <w:noWrap w:val="0"/>
            <w:vAlign w:val="center"/>
          </w:tcPr>
          <w:p w14:paraId="121E93D0">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820" w:type="dxa"/>
            <w:tcBorders>
              <w:top w:val="single" w:color="auto" w:sz="12" w:space="0"/>
              <w:bottom w:val="double" w:color="auto" w:sz="6" w:space="0"/>
            </w:tcBorders>
            <w:noWrap w:val="0"/>
            <w:vAlign w:val="center"/>
          </w:tcPr>
          <w:p w14:paraId="5248A44D">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006" w:type="dxa"/>
            <w:tcBorders>
              <w:top w:val="single" w:color="auto" w:sz="12" w:space="0"/>
              <w:bottom w:val="double" w:color="auto" w:sz="6" w:space="0"/>
            </w:tcBorders>
            <w:noWrap w:val="0"/>
            <w:vAlign w:val="center"/>
          </w:tcPr>
          <w:p w14:paraId="533D9EE4">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单价（元）</w:t>
            </w:r>
          </w:p>
        </w:tc>
        <w:tc>
          <w:tcPr>
            <w:tcW w:w="956" w:type="dxa"/>
            <w:tcBorders>
              <w:top w:val="single" w:color="auto" w:sz="12" w:space="0"/>
              <w:bottom w:val="double" w:color="auto" w:sz="6" w:space="0"/>
            </w:tcBorders>
            <w:noWrap w:val="0"/>
            <w:vAlign w:val="center"/>
          </w:tcPr>
          <w:p w14:paraId="4F833CFD">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质量等级</w:t>
            </w:r>
          </w:p>
        </w:tc>
        <w:tc>
          <w:tcPr>
            <w:tcW w:w="820" w:type="dxa"/>
            <w:tcBorders>
              <w:top w:val="single" w:color="auto" w:sz="12" w:space="0"/>
              <w:bottom w:val="double" w:color="auto" w:sz="6" w:space="0"/>
            </w:tcBorders>
            <w:noWrap w:val="0"/>
            <w:vAlign w:val="center"/>
          </w:tcPr>
          <w:p w14:paraId="3508613B">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供应时间</w:t>
            </w:r>
          </w:p>
        </w:tc>
        <w:tc>
          <w:tcPr>
            <w:tcW w:w="1433" w:type="dxa"/>
            <w:tcBorders>
              <w:top w:val="single" w:color="auto" w:sz="12" w:space="0"/>
              <w:bottom w:val="double" w:color="auto" w:sz="6" w:space="0"/>
            </w:tcBorders>
            <w:noWrap w:val="0"/>
            <w:vAlign w:val="center"/>
          </w:tcPr>
          <w:p w14:paraId="529E693E">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送达地点</w:t>
            </w:r>
          </w:p>
        </w:tc>
        <w:tc>
          <w:tcPr>
            <w:tcW w:w="956" w:type="dxa"/>
            <w:tcBorders>
              <w:top w:val="single" w:color="auto" w:sz="12" w:space="0"/>
              <w:bottom w:val="double" w:color="auto" w:sz="6" w:space="0"/>
            </w:tcBorders>
            <w:noWrap w:val="0"/>
            <w:vAlign w:val="center"/>
          </w:tcPr>
          <w:p w14:paraId="41AAD72D">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55F397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4" w:hRule="atLeast"/>
          <w:jc w:val="center"/>
        </w:trPr>
        <w:tc>
          <w:tcPr>
            <w:tcW w:w="820" w:type="dxa"/>
            <w:tcBorders>
              <w:top w:val="double" w:color="auto" w:sz="6" w:space="0"/>
              <w:bottom w:val="single" w:color="auto" w:sz="6" w:space="0"/>
            </w:tcBorders>
            <w:noWrap w:val="0"/>
            <w:vAlign w:val="center"/>
          </w:tcPr>
          <w:p w14:paraId="69EC5CD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30" w:type="dxa"/>
            <w:tcBorders>
              <w:top w:val="double" w:color="auto" w:sz="6" w:space="0"/>
              <w:bottom w:val="single" w:color="auto" w:sz="6" w:space="0"/>
            </w:tcBorders>
            <w:noWrap w:val="0"/>
            <w:vAlign w:val="center"/>
          </w:tcPr>
          <w:p w14:paraId="6C49DA4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367" w:type="dxa"/>
            <w:tcBorders>
              <w:top w:val="double" w:color="auto" w:sz="6" w:space="0"/>
              <w:bottom w:val="single" w:color="auto" w:sz="6" w:space="0"/>
            </w:tcBorders>
            <w:noWrap w:val="0"/>
            <w:vAlign w:val="center"/>
          </w:tcPr>
          <w:p w14:paraId="204AAEC9">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06" w:type="dxa"/>
            <w:tcBorders>
              <w:top w:val="double" w:color="auto" w:sz="6" w:space="0"/>
              <w:bottom w:val="single" w:color="auto" w:sz="6" w:space="0"/>
            </w:tcBorders>
            <w:noWrap w:val="0"/>
            <w:vAlign w:val="center"/>
          </w:tcPr>
          <w:p w14:paraId="17E66968">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tcBorders>
              <w:top w:val="double" w:color="auto" w:sz="6" w:space="0"/>
              <w:bottom w:val="single" w:color="auto" w:sz="6" w:space="0"/>
            </w:tcBorders>
            <w:noWrap w:val="0"/>
            <w:vAlign w:val="center"/>
          </w:tcPr>
          <w:p w14:paraId="534A5BF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06" w:type="dxa"/>
            <w:tcBorders>
              <w:top w:val="double" w:color="auto" w:sz="6" w:space="0"/>
              <w:bottom w:val="single" w:color="auto" w:sz="6" w:space="0"/>
            </w:tcBorders>
            <w:noWrap w:val="0"/>
            <w:vAlign w:val="center"/>
          </w:tcPr>
          <w:p w14:paraId="56D247F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tcBorders>
              <w:top w:val="double" w:color="auto" w:sz="6" w:space="0"/>
              <w:bottom w:val="single" w:color="auto" w:sz="6" w:space="0"/>
            </w:tcBorders>
            <w:noWrap w:val="0"/>
            <w:vAlign w:val="center"/>
          </w:tcPr>
          <w:p w14:paraId="40590AB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tcBorders>
              <w:top w:val="double" w:color="auto" w:sz="6" w:space="0"/>
              <w:bottom w:val="single" w:color="auto" w:sz="6" w:space="0"/>
            </w:tcBorders>
            <w:noWrap w:val="0"/>
            <w:vAlign w:val="center"/>
          </w:tcPr>
          <w:p w14:paraId="61719CA9">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33" w:type="dxa"/>
            <w:tcBorders>
              <w:top w:val="double" w:color="auto" w:sz="6" w:space="0"/>
              <w:bottom w:val="single" w:color="auto" w:sz="6" w:space="0"/>
            </w:tcBorders>
            <w:noWrap w:val="0"/>
            <w:vAlign w:val="center"/>
          </w:tcPr>
          <w:p w14:paraId="3BFC98BD">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tcBorders>
              <w:top w:val="double" w:color="auto" w:sz="6" w:space="0"/>
              <w:bottom w:val="single" w:color="auto" w:sz="6" w:space="0"/>
            </w:tcBorders>
            <w:noWrap w:val="0"/>
            <w:vAlign w:val="center"/>
          </w:tcPr>
          <w:p w14:paraId="7A8BEC7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3E089F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20" w:type="dxa"/>
            <w:tcBorders>
              <w:top w:val="nil"/>
            </w:tcBorders>
            <w:noWrap w:val="0"/>
            <w:vAlign w:val="center"/>
          </w:tcPr>
          <w:p w14:paraId="35F9AD5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30" w:type="dxa"/>
            <w:tcBorders>
              <w:top w:val="nil"/>
            </w:tcBorders>
            <w:noWrap w:val="0"/>
            <w:vAlign w:val="center"/>
          </w:tcPr>
          <w:p w14:paraId="195818E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367" w:type="dxa"/>
            <w:tcBorders>
              <w:top w:val="nil"/>
            </w:tcBorders>
            <w:noWrap w:val="0"/>
            <w:vAlign w:val="center"/>
          </w:tcPr>
          <w:p w14:paraId="5EBBB5C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06" w:type="dxa"/>
            <w:tcBorders>
              <w:top w:val="nil"/>
            </w:tcBorders>
            <w:noWrap w:val="0"/>
            <w:vAlign w:val="center"/>
          </w:tcPr>
          <w:p w14:paraId="4211B51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tcBorders>
              <w:top w:val="nil"/>
            </w:tcBorders>
            <w:noWrap w:val="0"/>
            <w:vAlign w:val="center"/>
          </w:tcPr>
          <w:p w14:paraId="5B695B4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06" w:type="dxa"/>
            <w:tcBorders>
              <w:top w:val="nil"/>
            </w:tcBorders>
            <w:noWrap w:val="0"/>
            <w:vAlign w:val="center"/>
          </w:tcPr>
          <w:p w14:paraId="1C32C1AB">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tcBorders>
              <w:top w:val="nil"/>
            </w:tcBorders>
            <w:noWrap w:val="0"/>
            <w:vAlign w:val="center"/>
          </w:tcPr>
          <w:p w14:paraId="2669C49E">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tcBorders>
              <w:top w:val="nil"/>
            </w:tcBorders>
            <w:noWrap w:val="0"/>
            <w:vAlign w:val="center"/>
          </w:tcPr>
          <w:p w14:paraId="54A9D6AB">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33" w:type="dxa"/>
            <w:tcBorders>
              <w:top w:val="nil"/>
            </w:tcBorders>
            <w:noWrap w:val="0"/>
            <w:vAlign w:val="center"/>
          </w:tcPr>
          <w:p w14:paraId="663A5C67">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tcBorders>
              <w:top w:val="nil"/>
            </w:tcBorders>
            <w:noWrap w:val="0"/>
            <w:vAlign w:val="center"/>
          </w:tcPr>
          <w:p w14:paraId="6EB15684">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79CE46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20" w:type="dxa"/>
            <w:noWrap w:val="0"/>
            <w:vAlign w:val="center"/>
          </w:tcPr>
          <w:p w14:paraId="11F332D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30" w:type="dxa"/>
            <w:noWrap w:val="0"/>
            <w:vAlign w:val="center"/>
          </w:tcPr>
          <w:p w14:paraId="4F218057">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367" w:type="dxa"/>
            <w:noWrap w:val="0"/>
            <w:vAlign w:val="center"/>
          </w:tcPr>
          <w:p w14:paraId="402D46CA">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06" w:type="dxa"/>
            <w:noWrap w:val="0"/>
            <w:vAlign w:val="center"/>
          </w:tcPr>
          <w:p w14:paraId="1BABE328">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noWrap w:val="0"/>
            <w:vAlign w:val="center"/>
          </w:tcPr>
          <w:p w14:paraId="6418F428">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06" w:type="dxa"/>
            <w:noWrap w:val="0"/>
            <w:vAlign w:val="center"/>
          </w:tcPr>
          <w:p w14:paraId="33087379">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noWrap w:val="0"/>
            <w:vAlign w:val="center"/>
          </w:tcPr>
          <w:p w14:paraId="6429C30A">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noWrap w:val="0"/>
            <w:vAlign w:val="center"/>
          </w:tcPr>
          <w:p w14:paraId="2FC238C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33" w:type="dxa"/>
            <w:noWrap w:val="0"/>
            <w:vAlign w:val="center"/>
          </w:tcPr>
          <w:p w14:paraId="440936AA">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noWrap w:val="0"/>
            <w:vAlign w:val="center"/>
          </w:tcPr>
          <w:p w14:paraId="011ADF8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1D7A07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20" w:type="dxa"/>
            <w:noWrap w:val="0"/>
            <w:vAlign w:val="center"/>
          </w:tcPr>
          <w:p w14:paraId="24B2614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30" w:type="dxa"/>
            <w:noWrap w:val="0"/>
            <w:vAlign w:val="center"/>
          </w:tcPr>
          <w:p w14:paraId="08FAD40B">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367" w:type="dxa"/>
            <w:noWrap w:val="0"/>
            <w:vAlign w:val="center"/>
          </w:tcPr>
          <w:p w14:paraId="371AECC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06" w:type="dxa"/>
            <w:noWrap w:val="0"/>
            <w:vAlign w:val="center"/>
          </w:tcPr>
          <w:p w14:paraId="1A2D9744">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noWrap w:val="0"/>
            <w:vAlign w:val="center"/>
          </w:tcPr>
          <w:p w14:paraId="22C9BC8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06" w:type="dxa"/>
            <w:noWrap w:val="0"/>
            <w:vAlign w:val="center"/>
          </w:tcPr>
          <w:p w14:paraId="7879200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noWrap w:val="0"/>
            <w:vAlign w:val="center"/>
          </w:tcPr>
          <w:p w14:paraId="582C7F81">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noWrap w:val="0"/>
            <w:vAlign w:val="center"/>
          </w:tcPr>
          <w:p w14:paraId="424E38A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33" w:type="dxa"/>
            <w:noWrap w:val="0"/>
            <w:vAlign w:val="center"/>
          </w:tcPr>
          <w:p w14:paraId="7CE9C153">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noWrap w:val="0"/>
            <w:vAlign w:val="center"/>
          </w:tcPr>
          <w:p w14:paraId="0047FB2B">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533414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20" w:type="dxa"/>
            <w:noWrap w:val="0"/>
            <w:vAlign w:val="center"/>
          </w:tcPr>
          <w:p w14:paraId="691281C4">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30" w:type="dxa"/>
            <w:noWrap w:val="0"/>
            <w:vAlign w:val="center"/>
          </w:tcPr>
          <w:p w14:paraId="62F3B9CD">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367" w:type="dxa"/>
            <w:noWrap w:val="0"/>
            <w:vAlign w:val="center"/>
          </w:tcPr>
          <w:p w14:paraId="415E029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06" w:type="dxa"/>
            <w:noWrap w:val="0"/>
            <w:vAlign w:val="center"/>
          </w:tcPr>
          <w:p w14:paraId="570706D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noWrap w:val="0"/>
            <w:vAlign w:val="center"/>
          </w:tcPr>
          <w:p w14:paraId="460EE672">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06" w:type="dxa"/>
            <w:noWrap w:val="0"/>
            <w:vAlign w:val="center"/>
          </w:tcPr>
          <w:p w14:paraId="558DB0D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noWrap w:val="0"/>
            <w:vAlign w:val="center"/>
          </w:tcPr>
          <w:p w14:paraId="071B2F99">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noWrap w:val="0"/>
            <w:vAlign w:val="center"/>
          </w:tcPr>
          <w:p w14:paraId="1CC7554E">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33" w:type="dxa"/>
            <w:noWrap w:val="0"/>
            <w:vAlign w:val="center"/>
          </w:tcPr>
          <w:p w14:paraId="16EC1EF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noWrap w:val="0"/>
            <w:vAlign w:val="center"/>
          </w:tcPr>
          <w:p w14:paraId="2D344B21">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1F1E1C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20" w:type="dxa"/>
            <w:noWrap w:val="0"/>
            <w:vAlign w:val="center"/>
          </w:tcPr>
          <w:p w14:paraId="53557C79">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30" w:type="dxa"/>
            <w:noWrap w:val="0"/>
            <w:vAlign w:val="center"/>
          </w:tcPr>
          <w:p w14:paraId="161D4F1E">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367" w:type="dxa"/>
            <w:noWrap w:val="0"/>
            <w:vAlign w:val="center"/>
          </w:tcPr>
          <w:p w14:paraId="194AD87A">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06" w:type="dxa"/>
            <w:noWrap w:val="0"/>
            <w:vAlign w:val="center"/>
          </w:tcPr>
          <w:p w14:paraId="0FB707B1">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noWrap w:val="0"/>
            <w:vAlign w:val="center"/>
          </w:tcPr>
          <w:p w14:paraId="294AF1C0">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06" w:type="dxa"/>
            <w:noWrap w:val="0"/>
            <w:vAlign w:val="center"/>
          </w:tcPr>
          <w:p w14:paraId="2277CA72">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noWrap w:val="0"/>
            <w:vAlign w:val="center"/>
          </w:tcPr>
          <w:p w14:paraId="5C073BBA">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noWrap w:val="0"/>
            <w:vAlign w:val="center"/>
          </w:tcPr>
          <w:p w14:paraId="639D786D">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33" w:type="dxa"/>
            <w:noWrap w:val="0"/>
            <w:vAlign w:val="center"/>
          </w:tcPr>
          <w:p w14:paraId="014B935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noWrap w:val="0"/>
            <w:vAlign w:val="center"/>
          </w:tcPr>
          <w:p w14:paraId="6630671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7552B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20" w:type="dxa"/>
            <w:noWrap w:val="0"/>
            <w:vAlign w:val="center"/>
          </w:tcPr>
          <w:p w14:paraId="0BEEC03B">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30" w:type="dxa"/>
            <w:noWrap w:val="0"/>
            <w:vAlign w:val="center"/>
          </w:tcPr>
          <w:p w14:paraId="797701D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367" w:type="dxa"/>
            <w:noWrap w:val="0"/>
            <w:vAlign w:val="center"/>
          </w:tcPr>
          <w:p w14:paraId="40589B0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06" w:type="dxa"/>
            <w:noWrap w:val="0"/>
            <w:vAlign w:val="center"/>
          </w:tcPr>
          <w:p w14:paraId="2E4FBDD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noWrap w:val="0"/>
            <w:vAlign w:val="center"/>
          </w:tcPr>
          <w:p w14:paraId="2B8EF9A7">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06" w:type="dxa"/>
            <w:noWrap w:val="0"/>
            <w:vAlign w:val="center"/>
          </w:tcPr>
          <w:p w14:paraId="133E4271">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noWrap w:val="0"/>
            <w:vAlign w:val="center"/>
          </w:tcPr>
          <w:p w14:paraId="024FFB58">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noWrap w:val="0"/>
            <w:vAlign w:val="center"/>
          </w:tcPr>
          <w:p w14:paraId="1A8411CC">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33" w:type="dxa"/>
            <w:noWrap w:val="0"/>
            <w:vAlign w:val="center"/>
          </w:tcPr>
          <w:p w14:paraId="1BDE4FD7">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noWrap w:val="0"/>
            <w:vAlign w:val="center"/>
          </w:tcPr>
          <w:p w14:paraId="766F5057">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36F01E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20" w:type="dxa"/>
            <w:noWrap w:val="0"/>
            <w:vAlign w:val="center"/>
          </w:tcPr>
          <w:p w14:paraId="1ADDEF15">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230" w:type="dxa"/>
            <w:noWrap w:val="0"/>
            <w:vAlign w:val="center"/>
          </w:tcPr>
          <w:p w14:paraId="5C159409">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367" w:type="dxa"/>
            <w:noWrap w:val="0"/>
            <w:vAlign w:val="center"/>
          </w:tcPr>
          <w:p w14:paraId="346A1F06">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06" w:type="dxa"/>
            <w:noWrap w:val="0"/>
            <w:vAlign w:val="center"/>
          </w:tcPr>
          <w:p w14:paraId="4C8E1B71">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7493AD10">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006" w:type="dxa"/>
            <w:noWrap w:val="0"/>
            <w:vAlign w:val="center"/>
          </w:tcPr>
          <w:p w14:paraId="5553C1E2">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62214F0E">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5A833134">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433" w:type="dxa"/>
            <w:noWrap w:val="0"/>
            <w:vAlign w:val="center"/>
          </w:tcPr>
          <w:p w14:paraId="6E86DC8D">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6CE26F7E">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r>
      <w:tr w14:paraId="625649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20" w:type="dxa"/>
            <w:noWrap w:val="0"/>
            <w:vAlign w:val="center"/>
          </w:tcPr>
          <w:p w14:paraId="78424176">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230" w:type="dxa"/>
            <w:noWrap w:val="0"/>
            <w:vAlign w:val="center"/>
          </w:tcPr>
          <w:p w14:paraId="5CCCAEF2">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367" w:type="dxa"/>
            <w:noWrap w:val="0"/>
            <w:vAlign w:val="center"/>
          </w:tcPr>
          <w:p w14:paraId="58A59957">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06" w:type="dxa"/>
            <w:noWrap w:val="0"/>
            <w:vAlign w:val="center"/>
          </w:tcPr>
          <w:p w14:paraId="411834D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noWrap w:val="0"/>
            <w:vAlign w:val="center"/>
          </w:tcPr>
          <w:p w14:paraId="208E52F0">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006" w:type="dxa"/>
            <w:noWrap w:val="0"/>
            <w:vAlign w:val="center"/>
          </w:tcPr>
          <w:p w14:paraId="6E71754B">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noWrap w:val="0"/>
            <w:vAlign w:val="center"/>
          </w:tcPr>
          <w:p w14:paraId="67E5707D">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820" w:type="dxa"/>
            <w:noWrap w:val="0"/>
            <w:vAlign w:val="center"/>
          </w:tcPr>
          <w:p w14:paraId="24D563F5">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1433" w:type="dxa"/>
            <w:noWrap w:val="0"/>
            <w:vAlign w:val="center"/>
          </w:tcPr>
          <w:p w14:paraId="1623D0AF">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c>
          <w:tcPr>
            <w:tcW w:w="956" w:type="dxa"/>
            <w:noWrap w:val="0"/>
            <w:vAlign w:val="center"/>
          </w:tcPr>
          <w:p w14:paraId="7BADD631">
            <w:pPr>
              <w:keepNext/>
              <w:keepLines w:val="0"/>
              <w:pageBreakBefore w:val="0"/>
              <w:shd w:val="clear" w:color="auto" w:fill="auto"/>
              <w:kinsoku/>
              <w:wordWrap/>
              <w:overflowPunct/>
              <w:topLinePunct w:val="0"/>
              <w:bidi w:val="0"/>
              <w:adjustRightInd w:val="0"/>
              <w:snapToGrid/>
              <w:spacing w:line="360" w:lineRule="auto"/>
              <w:ind w:left="63" w:leftChars="30" w:right="63" w:rightChars="30"/>
              <w:jc w:val="center"/>
              <w:textAlignment w:val="baseline"/>
              <w:rPr>
                <w:rFonts w:hint="eastAsia" w:ascii="宋体" w:hAnsi="宋体" w:eastAsia="宋体" w:cs="宋体"/>
                <w:color w:val="auto"/>
                <w:sz w:val="24"/>
                <w:szCs w:val="24"/>
                <w:highlight w:val="none"/>
              </w:rPr>
            </w:pPr>
          </w:p>
        </w:tc>
      </w:tr>
      <w:tr w14:paraId="50F0E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20" w:type="dxa"/>
            <w:noWrap w:val="0"/>
            <w:vAlign w:val="center"/>
          </w:tcPr>
          <w:p w14:paraId="401FC68C">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230" w:type="dxa"/>
            <w:noWrap w:val="0"/>
            <w:vAlign w:val="center"/>
          </w:tcPr>
          <w:p w14:paraId="6669AD18">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367" w:type="dxa"/>
            <w:noWrap w:val="0"/>
            <w:vAlign w:val="center"/>
          </w:tcPr>
          <w:p w14:paraId="347D9C43">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06" w:type="dxa"/>
            <w:noWrap w:val="0"/>
            <w:vAlign w:val="center"/>
          </w:tcPr>
          <w:p w14:paraId="0884DA57">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22910F46">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006" w:type="dxa"/>
            <w:noWrap w:val="0"/>
            <w:vAlign w:val="center"/>
          </w:tcPr>
          <w:p w14:paraId="5D67EF55">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14A19FAF">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03764388">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433" w:type="dxa"/>
            <w:noWrap w:val="0"/>
            <w:vAlign w:val="center"/>
          </w:tcPr>
          <w:p w14:paraId="5BDD374C">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01BAC8EA">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r>
      <w:tr w14:paraId="0E3584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20" w:type="dxa"/>
            <w:noWrap w:val="0"/>
            <w:vAlign w:val="center"/>
          </w:tcPr>
          <w:p w14:paraId="38E0ADD1">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230" w:type="dxa"/>
            <w:noWrap w:val="0"/>
            <w:vAlign w:val="center"/>
          </w:tcPr>
          <w:p w14:paraId="2623E5D2">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367" w:type="dxa"/>
            <w:noWrap w:val="0"/>
            <w:vAlign w:val="center"/>
          </w:tcPr>
          <w:p w14:paraId="1DEE774C">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06" w:type="dxa"/>
            <w:noWrap w:val="0"/>
            <w:vAlign w:val="center"/>
          </w:tcPr>
          <w:p w14:paraId="0B8C5FC3">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6BCDD3D6">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006" w:type="dxa"/>
            <w:noWrap w:val="0"/>
            <w:vAlign w:val="center"/>
          </w:tcPr>
          <w:p w14:paraId="352AE77A">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69A72AFA">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392AC8D7">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433" w:type="dxa"/>
            <w:noWrap w:val="0"/>
            <w:vAlign w:val="center"/>
          </w:tcPr>
          <w:p w14:paraId="047AA38C">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0EBE6998">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r>
      <w:tr w14:paraId="1A55D3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20" w:type="dxa"/>
            <w:noWrap w:val="0"/>
            <w:vAlign w:val="center"/>
          </w:tcPr>
          <w:p w14:paraId="28D3FAD0">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230" w:type="dxa"/>
            <w:noWrap w:val="0"/>
            <w:vAlign w:val="center"/>
          </w:tcPr>
          <w:p w14:paraId="7E1DAB7A">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367" w:type="dxa"/>
            <w:noWrap w:val="0"/>
            <w:vAlign w:val="center"/>
          </w:tcPr>
          <w:p w14:paraId="0D7ADF56">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06" w:type="dxa"/>
            <w:noWrap w:val="0"/>
            <w:vAlign w:val="center"/>
          </w:tcPr>
          <w:p w14:paraId="0A4D4FF4">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683166A4">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006" w:type="dxa"/>
            <w:noWrap w:val="0"/>
            <w:vAlign w:val="center"/>
          </w:tcPr>
          <w:p w14:paraId="26CF6CD5">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39D1C102">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242F4B6A">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433" w:type="dxa"/>
            <w:noWrap w:val="0"/>
            <w:vAlign w:val="center"/>
          </w:tcPr>
          <w:p w14:paraId="39533C9E">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0CDE4D5D">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r>
      <w:tr w14:paraId="056831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20" w:type="dxa"/>
            <w:noWrap w:val="0"/>
            <w:vAlign w:val="center"/>
          </w:tcPr>
          <w:p w14:paraId="74A1E15D">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230" w:type="dxa"/>
            <w:noWrap w:val="0"/>
            <w:vAlign w:val="center"/>
          </w:tcPr>
          <w:p w14:paraId="7A27DF1A">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367" w:type="dxa"/>
            <w:noWrap w:val="0"/>
            <w:vAlign w:val="center"/>
          </w:tcPr>
          <w:p w14:paraId="5868D8D7">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06" w:type="dxa"/>
            <w:noWrap w:val="0"/>
            <w:vAlign w:val="center"/>
          </w:tcPr>
          <w:p w14:paraId="3EE91A58">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4FD0489E">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006" w:type="dxa"/>
            <w:noWrap w:val="0"/>
            <w:vAlign w:val="center"/>
          </w:tcPr>
          <w:p w14:paraId="5811FBE9">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6717448F">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7903C02B">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433" w:type="dxa"/>
            <w:noWrap w:val="0"/>
            <w:vAlign w:val="center"/>
          </w:tcPr>
          <w:p w14:paraId="318EC6B9">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3D8A95B9">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r>
      <w:tr w14:paraId="32BFC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20" w:type="dxa"/>
            <w:noWrap w:val="0"/>
            <w:vAlign w:val="center"/>
          </w:tcPr>
          <w:p w14:paraId="4760234C">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230" w:type="dxa"/>
            <w:noWrap w:val="0"/>
            <w:vAlign w:val="center"/>
          </w:tcPr>
          <w:p w14:paraId="540D13B9">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367" w:type="dxa"/>
            <w:noWrap w:val="0"/>
            <w:vAlign w:val="center"/>
          </w:tcPr>
          <w:p w14:paraId="266A49AA">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06" w:type="dxa"/>
            <w:noWrap w:val="0"/>
            <w:vAlign w:val="center"/>
          </w:tcPr>
          <w:p w14:paraId="7268841A">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6D70DD13">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006" w:type="dxa"/>
            <w:noWrap w:val="0"/>
            <w:vAlign w:val="center"/>
          </w:tcPr>
          <w:p w14:paraId="1D2FAB6E">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1565984E">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349DCB58">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433" w:type="dxa"/>
            <w:noWrap w:val="0"/>
            <w:vAlign w:val="center"/>
          </w:tcPr>
          <w:p w14:paraId="2F0275AE">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6F782BB8">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r>
      <w:tr w14:paraId="4CE01D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84" w:hRule="atLeast"/>
          <w:jc w:val="center"/>
        </w:trPr>
        <w:tc>
          <w:tcPr>
            <w:tcW w:w="820" w:type="dxa"/>
            <w:noWrap w:val="0"/>
            <w:vAlign w:val="center"/>
          </w:tcPr>
          <w:p w14:paraId="573286F1">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230" w:type="dxa"/>
            <w:noWrap w:val="0"/>
            <w:vAlign w:val="center"/>
          </w:tcPr>
          <w:p w14:paraId="630CAEC5">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367" w:type="dxa"/>
            <w:noWrap w:val="0"/>
            <w:vAlign w:val="center"/>
          </w:tcPr>
          <w:p w14:paraId="3486D108">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06" w:type="dxa"/>
            <w:noWrap w:val="0"/>
            <w:vAlign w:val="center"/>
          </w:tcPr>
          <w:p w14:paraId="546A74C1">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40C2FF89">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006" w:type="dxa"/>
            <w:noWrap w:val="0"/>
            <w:vAlign w:val="center"/>
          </w:tcPr>
          <w:p w14:paraId="086907E0">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5BFCDF91">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21265768">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433" w:type="dxa"/>
            <w:noWrap w:val="0"/>
            <w:vAlign w:val="center"/>
          </w:tcPr>
          <w:p w14:paraId="2BEF1A51">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5D91F0C3">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r>
      <w:tr w14:paraId="28008D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4" w:hRule="atLeast"/>
          <w:jc w:val="center"/>
        </w:trPr>
        <w:tc>
          <w:tcPr>
            <w:tcW w:w="820" w:type="dxa"/>
            <w:noWrap w:val="0"/>
            <w:vAlign w:val="center"/>
          </w:tcPr>
          <w:p w14:paraId="3A3E3414">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230" w:type="dxa"/>
            <w:noWrap w:val="0"/>
            <w:vAlign w:val="center"/>
          </w:tcPr>
          <w:p w14:paraId="0146D170">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367" w:type="dxa"/>
            <w:noWrap w:val="0"/>
            <w:vAlign w:val="center"/>
          </w:tcPr>
          <w:p w14:paraId="4E9A4FA7">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06" w:type="dxa"/>
            <w:noWrap w:val="0"/>
            <w:vAlign w:val="center"/>
          </w:tcPr>
          <w:p w14:paraId="087124F5">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2006E919">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006" w:type="dxa"/>
            <w:noWrap w:val="0"/>
            <w:vAlign w:val="center"/>
          </w:tcPr>
          <w:p w14:paraId="5023C158">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69034066">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820" w:type="dxa"/>
            <w:noWrap w:val="0"/>
            <w:vAlign w:val="center"/>
          </w:tcPr>
          <w:p w14:paraId="37E7DD67">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1433" w:type="dxa"/>
            <w:noWrap w:val="0"/>
            <w:vAlign w:val="center"/>
          </w:tcPr>
          <w:p w14:paraId="441D7D53">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c>
          <w:tcPr>
            <w:tcW w:w="956" w:type="dxa"/>
            <w:noWrap w:val="0"/>
            <w:vAlign w:val="center"/>
          </w:tcPr>
          <w:p w14:paraId="189BB569">
            <w:pPr>
              <w:keepLines w:val="0"/>
              <w:pageBreakBefore w:val="0"/>
              <w:shd w:val="clear" w:color="auto" w:fill="auto"/>
              <w:kinsoku/>
              <w:wordWrap/>
              <w:overflowPunct/>
              <w:topLinePunct w:val="0"/>
              <w:bidi w:val="0"/>
              <w:snapToGrid/>
              <w:spacing w:line="360" w:lineRule="auto"/>
              <w:jc w:val="center"/>
              <w:rPr>
                <w:rFonts w:hint="eastAsia" w:ascii="宋体" w:hAnsi="宋体" w:eastAsia="宋体" w:cs="宋体"/>
                <w:color w:val="auto"/>
                <w:sz w:val="24"/>
                <w:szCs w:val="24"/>
                <w:highlight w:val="none"/>
              </w:rPr>
            </w:pPr>
          </w:p>
        </w:tc>
      </w:tr>
    </w:tbl>
    <w:p w14:paraId="3EA28E85">
      <w:pPr>
        <w:keepLines w:val="0"/>
        <w:pageBreakBefore w:val="0"/>
        <w:shd w:val="clear" w:color="auto" w:fill="auto"/>
        <w:kinsoku/>
        <w:wordWrap/>
        <w:overflowPunct/>
        <w:topLinePunct w:val="0"/>
        <w:bidi w:val="0"/>
        <w:snapToGrid/>
        <w:spacing w:line="360" w:lineRule="auto"/>
        <w:rPr>
          <w:rFonts w:hint="eastAsia" w:ascii="宋体" w:hAnsi="宋体" w:eastAsia="宋体" w:cs="宋体"/>
          <w:color w:val="auto"/>
          <w:sz w:val="24"/>
          <w:szCs w:val="24"/>
          <w:highlight w:val="none"/>
        </w:rPr>
      </w:pPr>
    </w:p>
    <w:p w14:paraId="28705895">
      <w:pPr>
        <w:keepLines w:val="0"/>
        <w:pageBreakBefore w:val="0"/>
        <w:shd w:val="clear" w:color="auto" w:fill="auto"/>
        <w:kinsoku/>
        <w:wordWrap/>
        <w:overflowPunct/>
        <w:topLinePunct w:val="0"/>
        <w:bidi w:val="0"/>
        <w:snapToGrid/>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4"/>
          <w:szCs w:val="24"/>
          <w:highlight w:val="none"/>
        </w:rPr>
        <w:t>附</w:t>
      </w:r>
      <w:bookmarkStart w:id="546" w:name="_Toc296347225"/>
      <w:bookmarkStart w:id="547" w:name="_Toc296346727"/>
      <w:bookmarkStart w:id="548" w:name="_Toc267261693"/>
      <w:bookmarkStart w:id="549" w:name="_Toc296891054"/>
      <w:bookmarkStart w:id="550" w:name="_Toc296891266"/>
      <w:bookmarkStart w:id="551" w:name="_Toc296503226"/>
      <w:bookmarkStart w:id="552" w:name="_Toc296944565"/>
      <w:r>
        <w:rPr>
          <w:rFonts w:hint="eastAsia" w:ascii="宋体" w:hAnsi="宋体" w:eastAsia="宋体" w:cs="宋体"/>
          <w:b/>
          <w:bCs/>
          <w:color w:val="auto"/>
          <w:sz w:val="24"/>
          <w:szCs w:val="24"/>
          <w:highlight w:val="none"/>
        </w:rPr>
        <w:t>件3：</w:t>
      </w:r>
      <w:bookmarkEnd w:id="546"/>
      <w:bookmarkEnd w:id="547"/>
      <w:bookmarkEnd w:id="548"/>
      <w:bookmarkEnd w:id="549"/>
      <w:bookmarkEnd w:id="550"/>
      <w:bookmarkEnd w:id="551"/>
      <w:bookmarkEnd w:id="552"/>
    </w:p>
    <w:p w14:paraId="76DF1D01">
      <w:pPr>
        <w:keepLines w:val="0"/>
        <w:pageBreakBefore w:val="0"/>
        <w:shd w:val="clear" w:color="auto" w:fill="auto"/>
        <w:kinsoku/>
        <w:wordWrap/>
        <w:overflowPunct/>
        <w:topLinePunct w:val="0"/>
        <w:bidi w:val="0"/>
        <w:snapToGrid/>
        <w:spacing w:before="120" w:beforeLines="50" w:after="120" w:afterLines="50"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w:t>
      </w:r>
    </w:p>
    <w:p w14:paraId="227D9721">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发包人（全称）：  </w:t>
      </w:r>
    </w:p>
    <w:p w14:paraId="4ECF4C91">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承包人（全称）：  </w:t>
      </w:r>
    </w:p>
    <w:p w14:paraId="0DCF3360">
      <w:pPr>
        <w:keepLines w:val="0"/>
        <w:pageBreakBefore w:val="0"/>
        <w:shd w:val="clear" w:color="auto" w:fill="auto"/>
        <w:kinsoku/>
        <w:wordWrap/>
        <w:overflowPunct/>
        <w:topLinePunct w:val="0"/>
        <w:bidi w:val="0"/>
        <w:snapToGrid/>
        <w:spacing w:line="360" w:lineRule="auto"/>
        <w:rPr>
          <w:rFonts w:hint="eastAsia" w:ascii="宋体" w:hAnsi="宋体" w:eastAsia="宋体" w:cs="宋体"/>
          <w:color w:val="auto"/>
          <w:sz w:val="24"/>
          <w:szCs w:val="24"/>
          <w:highlight w:val="none"/>
        </w:rPr>
      </w:pPr>
    </w:p>
    <w:p w14:paraId="454477E0">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发包人和承包人根据《中华人民共和国建筑法》和《建设工程质量管理条例》，经协商一致就（工程全称）签订工程质量保修书。</w:t>
      </w:r>
    </w:p>
    <w:p w14:paraId="21286082">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一、工程质量保修范围和内容</w:t>
      </w:r>
    </w:p>
    <w:p w14:paraId="56F04525">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承包人在质量保修期内，按照有关法律规定和合同约定，承担工程质量保修责任。</w:t>
      </w:r>
    </w:p>
    <w:p w14:paraId="1B43319D">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质量保修范围</w:t>
      </w:r>
      <w:r>
        <w:rPr>
          <w:rFonts w:hint="eastAsia" w:ascii="宋体" w:hAnsi="宋体" w:cs="宋体"/>
          <w:color w:val="auto"/>
          <w:sz w:val="24"/>
          <w:szCs w:val="24"/>
          <w:highlight w:val="none"/>
          <w:lang w:val="en-US" w:eastAsia="zh-CN"/>
        </w:rPr>
        <w:t>包含工程量清单的所有内容</w:t>
      </w:r>
      <w:r>
        <w:rPr>
          <w:rFonts w:hint="eastAsia" w:ascii="宋体" w:hAnsi="宋体" w:eastAsia="宋体" w:cs="宋体"/>
          <w:color w:val="auto"/>
          <w:sz w:val="24"/>
          <w:szCs w:val="24"/>
          <w:highlight w:val="none"/>
        </w:rPr>
        <w:t>。具体保修的内容，双方约定如下：合同内包含的全部施工内容。</w:t>
      </w:r>
    </w:p>
    <w:p w14:paraId="50402240">
      <w:pPr>
        <w:keepLines w:val="0"/>
        <w:pageBreakBefore w:val="0"/>
        <w:numPr>
          <w:ilvl w:val="0"/>
          <w:numId w:val="1"/>
        </w:numPr>
        <w:shd w:val="clear" w:color="auto" w:fill="auto"/>
        <w:kinsoku/>
        <w:wordWrap/>
        <w:overflowPunct/>
        <w:topLinePunct w:val="0"/>
        <w:bidi w:val="0"/>
        <w:snapToGrid/>
        <w:spacing w:line="360" w:lineRule="auto"/>
        <w:ind w:left="0" w:leftChars="0" w:firstLine="480" w:firstLineChars="200"/>
        <w:outlineLvl w:val="9"/>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rPr>
        <w:t>质量保修期</w:t>
      </w:r>
    </w:p>
    <w:p w14:paraId="6ABD35D9">
      <w:pPr>
        <w:keepLines w:val="0"/>
        <w:pageBreakBefore w:val="0"/>
        <w:numPr>
          <w:ilvl w:val="0"/>
          <w:numId w:val="0"/>
        </w:numPr>
        <w:shd w:val="clear" w:color="auto" w:fill="auto"/>
        <w:kinsoku/>
        <w:wordWrap/>
        <w:overflowPunct/>
        <w:topLinePunct w:val="0"/>
        <w:bidi w:val="0"/>
        <w:snapToGrid/>
        <w:spacing w:line="360" w:lineRule="auto"/>
        <w:ind w:leftChars="200"/>
        <w:outlineLvl w:val="9"/>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验收合格之日</w:t>
      </w:r>
      <w:r>
        <w:rPr>
          <w:rFonts w:hint="eastAsia" w:ascii="宋体" w:hAnsi="宋体" w:cs="宋体"/>
          <w:color w:val="auto"/>
          <w:sz w:val="24"/>
          <w:szCs w:val="24"/>
          <w:highlight w:val="none"/>
          <w:lang w:val="en-US" w:eastAsia="zh-CN"/>
        </w:rPr>
        <w:t>起</w:t>
      </w:r>
      <w:r>
        <w:rPr>
          <w:rFonts w:hint="eastAsia" w:ascii="宋体" w:hAnsi="宋体" w:eastAsia="宋体" w:cs="宋体"/>
          <w:color w:val="auto"/>
          <w:sz w:val="24"/>
          <w:szCs w:val="24"/>
          <w:highlight w:val="none"/>
          <w:u w:val="none"/>
          <w:lang w:val="en-US" w:eastAsia="zh-CN"/>
        </w:rPr>
        <w:t>2</w:t>
      </w:r>
      <w:r>
        <w:rPr>
          <w:rFonts w:hint="eastAsia" w:ascii="宋体" w:hAnsi="宋体" w:eastAsia="宋体" w:cs="宋体"/>
          <w:color w:val="auto"/>
          <w:sz w:val="24"/>
          <w:szCs w:val="24"/>
          <w:highlight w:val="none"/>
          <w:u w:val="none"/>
        </w:rPr>
        <w:t>年</w:t>
      </w:r>
    </w:p>
    <w:p w14:paraId="6CA64EBD">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三、缺陷责任期</w:t>
      </w:r>
    </w:p>
    <w:p w14:paraId="4E203FF6">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工程缺陷责任期为</w:t>
      </w: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rPr>
        <w:t>个月，缺陷责任期自工程通过竣工验收之日起计算。单位工程先于全部工程进行验收，单位工程缺陷责任期自单位工程验收合格之日起算。</w:t>
      </w:r>
    </w:p>
    <w:p w14:paraId="71545B23">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缺陷责任期终止后，发包人应退还剩余的质量保证金。</w:t>
      </w:r>
    </w:p>
    <w:p w14:paraId="704D905F">
      <w:pPr>
        <w:keepLines w:val="0"/>
        <w:pageBreakBefore w:val="0"/>
        <w:shd w:val="clear" w:color="auto" w:fill="auto"/>
        <w:kinsoku/>
        <w:wordWrap/>
        <w:overflowPunct/>
        <w:topLinePunct w:val="0"/>
        <w:bidi w:val="0"/>
        <w:snapToGrid/>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四、质量保修责任</w:t>
      </w:r>
    </w:p>
    <w:p w14:paraId="4FF4FAF8">
      <w:pPr>
        <w:keepLines w:val="0"/>
        <w:pageBreakBefore w:val="0"/>
        <w:shd w:val="clear" w:color="auto" w:fill="auto"/>
        <w:kinsoku/>
        <w:wordWrap/>
        <w:overflowPunct/>
        <w:topLinePunct w:val="0"/>
        <w:bidi w:val="0"/>
        <w:snapToGrid/>
        <w:spacing w:line="360" w:lineRule="auto"/>
        <w:ind w:left="105" w:leftChars="50"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1．属于保修范围、内容的项目，承包人应当在接到保修通知之日起7天内派人保修。承包人不在约定期限内派人保修的，发包人可以委托他人修理。</w:t>
      </w:r>
    </w:p>
    <w:p w14:paraId="653A67CA">
      <w:pPr>
        <w:keepLines w:val="0"/>
        <w:pageBreakBefore w:val="0"/>
        <w:shd w:val="clear" w:color="auto" w:fill="auto"/>
        <w:kinsoku/>
        <w:wordWrap/>
        <w:overflowPunct/>
        <w:topLinePunct w:val="0"/>
        <w:bidi w:val="0"/>
        <w:snapToGrid/>
        <w:spacing w:line="360" w:lineRule="auto"/>
        <w:ind w:left="105" w:leftChars="50" w:firstLine="491" w:firstLineChars="205"/>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2．发生紧急事故需抢修的，承包人在接到事故通知后，应当立即到达事故现场抢修。</w:t>
      </w:r>
    </w:p>
    <w:p w14:paraId="2A4267CC">
      <w:pPr>
        <w:keepLines w:val="0"/>
        <w:pageBreakBefore w:val="0"/>
        <w:shd w:val="clear" w:color="auto" w:fill="auto"/>
        <w:kinsoku/>
        <w:wordWrap/>
        <w:overflowPunct/>
        <w:topLinePunct w:val="0"/>
        <w:bidi w:val="0"/>
        <w:snapToGrid/>
        <w:spacing w:line="360" w:lineRule="auto"/>
        <w:ind w:left="105" w:leftChars="50" w:firstLine="491" w:firstLineChars="205"/>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EBD8CDA">
      <w:pPr>
        <w:keepLines w:val="0"/>
        <w:pageBreakBefore w:val="0"/>
        <w:shd w:val="clear" w:color="auto" w:fill="auto"/>
        <w:kinsoku/>
        <w:wordWrap/>
        <w:overflowPunct/>
        <w:topLinePunct w:val="0"/>
        <w:bidi w:val="0"/>
        <w:snapToGrid/>
        <w:spacing w:line="360" w:lineRule="auto"/>
        <w:ind w:left="420" w:leftChars="200" w:firstLine="120" w:firstLineChars="5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4．质量保修完成后，由发包人组织验收。</w:t>
      </w:r>
    </w:p>
    <w:p w14:paraId="1191B95B">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五、保修费用</w:t>
      </w:r>
    </w:p>
    <w:p w14:paraId="0517E267">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保修费用由造成质量缺陷的责任方承担。</w:t>
      </w:r>
    </w:p>
    <w:p w14:paraId="277BF077">
      <w:pPr>
        <w:keepLines w:val="0"/>
        <w:pageBreakBefore w:val="0"/>
        <w:shd w:val="clear" w:color="auto" w:fill="auto"/>
        <w:kinsoku/>
        <w:wordWrap/>
        <w:overflowPunct/>
        <w:topLinePunct w:val="0"/>
        <w:bidi w:val="0"/>
        <w:snapToGrid/>
        <w:spacing w:line="360" w:lineRule="auto"/>
        <w:ind w:firstLine="472" w:firstLineChars="196"/>
        <w:jc w:val="left"/>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六</w:t>
      </w:r>
      <w:r>
        <w:rPr>
          <w:rFonts w:hint="eastAsia" w:ascii="宋体" w:hAnsi="宋体" w:eastAsia="宋体" w:cs="宋体"/>
          <w:color w:val="auto"/>
          <w:sz w:val="24"/>
          <w:szCs w:val="24"/>
          <w:highlight w:val="none"/>
        </w:rPr>
        <w:t>、双方约定的其他工程质量保修事项：无。</w:t>
      </w:r>
    </w:p>
    <w:p w14:paraId="6A4BB1A1">
      <w:pPr>
        <w:keepLines w:val="0"/>
        <w:pageBreakBefore w:val="0"/>
        <w:shd w:val="clear" w:color="auto" w:fill="auto"/>
        <w:kinsoku/>
        <w:wordWrap/>
        <w:overflowPunct/>
        <w:topLinePunct w:val="0"/>
        <w:bidi w:val="0"/>
        <w:snapToGrid/>
        <w:spacing w:line="360" w:lineRule="auto"/>
        <w:ind w:firstLine="456" w:firstLineChars="19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工程质量保修书由发包人、承包人在工程竣工验收前共同签署，作为施工合同附件，其有效期限至保修期满。</w:t>
      </w:r>
    </w:p>
    <w:p w14:paraId="73DF732D">
      <w:pPr>
        <w:keepLines w:val="0"/>
        <w:pageBreakBefore w:val="0"/>
        <w:shd w:val="clear" w:color="auto" w:fill="auto"/>
        <w:kinsoku/>
        <w:wordWrap/>
        <w:overflowPunct/>
        <w:topLinePunct w:val="0"/>
        <w:bidi w:val="0"/>
        <w:snapToGrid/>
        <w:spacing w:line="360" w:lineRule="auto"/>
        <w:ind w:firstLine="420"/>
        <w:outlineLvl w:val="9"/>
        <w:rPr>
          <w:rFonts w:hint="eastAsia" w:ascii="宋体" w:hAnsi="宋体" w:eastAsia="宋体" w:cs="宋体"/>
          <w:color w:val="auto"/>
          <w:sz w:val="24"/>
          <w:szCs w:val="24"/>
          <w:highlight w:val="none"/>
        </w:rPr>
      </w:pPr>
    </w:p>
    <w:p w14:paraId="697FF7BF">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发包人(公章)：                        承包人(公章)：</w:t>
      </w:r>
    </w:p>
    <w:p w14:paraId="64733F98">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                              地  址：</w:t>
      </w:r>
    </w:p>
    <w:p w14:paraId="707D937E">
      <w:pPr>
        <w:keepLines w:val="0"/>
        <w:pageBreakBefore w:val="0"/>
        <w:shd w:val="clear" w:color="auto" w:fill="auto"/>
        <w:kinsoku/>
        <w:wordWrap/>
        <w:overflowPunct/>
        <w:topLinePunct w:val="0"/>
        <w:bidi w:val="0"/>
        <w:snapToGrid/>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                    法定代表人(签字)：</w:t>
      </w:r>
    </w:p>
    <w:p w14:paraId="5ED91BE9">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委托代理人(签字)：                    委托代理人(签字)：</w:t>
      </w:r>
    </w:p>
    <w:p w14:paraId="122A8168">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                              电  话：</w:t>
      </w:r>
    </w:p>
    <w:p w14:paraId="24E02CC8">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                              传  真：</w:t>
      </w:r>
    </w:p>
    <w:p w14:paraId="79821D10">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                            开户银行：</w:t>
      </w:r>
    </w:p>
    <w:p w14:paraId="779BA014">
      <w:pPr>
        <w:keepLines w:val="0"/>
        <w:pageBreakBefore w:val="0"/>
        <w:shd w:val="clear" w:color="auto" w:fill="auto"/>
        <w:kinsoku/>
        <w:wordWrap/>
        <w:overflowPunct/>
        <w:topLinePunct w:val="0"/>
        <w:bidi w:val="0"/>
        <w:snapToGrid/>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                              账 号：</w:t>
      </w:r>
    </w:p>
    <w:p w14:paraId="22A1C9FC">
      <w:pPr>
        <w:pStyle w:val="9"/>
        <w:ind w:firstLine="480" w:firstLineChars="200"/>
        <w:rPr>
          <w:rFonts w:hint="eastAsia"/>
          <w:lang w:val="en-US" w:eastAsia="zh-Hans"/>
        </w:rPr>
      </w:pPr>
      <w:r>
        <w:rPr>
          <w:rFonts w:hint="eastAsia" w:ascii="宋体" w:hAnsi="宋体" w:eastAsia="宋体" w:cs="宋体"/>
          <w:color w:val="auto"/>
          <w:sz w:val="24"/>
          <w:szCs w:val="24"/>
          <w:highlight w:val="none"/>
        </w:rPr>
        <w:t>邮政编码：                            邮政编码：</w:t>
      </w:r>
    </w:p>
    <w:p w14:paraId="4EC48C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D4000">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F20B26">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AF20B26">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774A9">
    <w:pPr>
      <w:pStyle w:val="4"/>
      <w:framePr w:wrap="around" w:vAnchor="text" w:hAnchor="margin" w:xAlign="right" w:y="1"/>
      <w:rPr>
        <w:rStyle w:val="8"/>
      </w:rPr>
    </w:pPr>
    <w:r>
      <w:fldChar w:fldCharType="begin"/>
    </w:r>
    <w:r>
      <w:rPr>
        <w:rStyle w:val="8"/>
      </w:rPr>
      <w:instrText xml:space="preserve">PAGE  </w:instrText>
    </w:r>
    <w:r>
      <w:fldChar w:fldCharType="separate"/>
    </w:r>
    <w:r>
      <w:rPr>
        <w:rStyle w:val="8"/>
      </w:rPr>
      <w:t>1</w:t>
    </w:r>
    <w:r>
      <w:fldChar w:fldCharType="end"/>
    </w:r>
  </w:p>
  <w:p w14:paraId="7067E706">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4099B">
    <w:pPr>
      <w:pStyle w:val="4"/>
      <w:ind w:left="5600" w:hanging="5040" w:hangingChars="2800"/>
      <w:jc w:val="left"/>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0E1F1B">
                          <w:pPr>
                            <w:pStyle w:val="4"/>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F0E1F1B">
                    <w:pPr>
                      <w:pStyle w:val="4"/>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F1F5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01F6ADC">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DkRMfazAEAAKcDAAAOAAAAAAAAAAEAIAAAAB4BAABkcnMvZTJv&#10;RG9jLnhtbFBLBQYAAAAABgAGAFkBAABcBQAAAAA=&#10;">
              <v:fill on="f" focussize="0,0"/>
              <v:stroke on="f"/>
              <v:imagedata o:title=""/>
              <o:lock v:ext="edit" aspectratio="f"/>
              <v:textbox inset="0mm,0mm,0mm,0mm" style="mso-fit-shape-to-text:t;">
                <w:txbxContent>
                  <w:p w14:paraId="401F6AD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5037F">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6531A">
    <w:pPr>
      <w:pStyle w:val="5"/>
      <w:pBdr>
        <w:bottom w:val="none" w:color="auto" w:sz="0" w:space="1"/>
      </w:pBdr>
      <w:jc w:val="left"/>
      <w:rPr>
        <w:rFonts w:hint="eastAsia" w:eastAsia="楷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0B873">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0F78BB"/>
    <w:multiLevelType w:val="singleLevel"/>
    <w:tmpl w:val="A00F78B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964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kern w:val="2"/>
      <w:sz w:val="21"/>
    </w:rPr>
  </w:style>
  <w:style w:type="paragraph" w:styleId="3">
    <w:name w:val="Body Text 2"/>
    <w:basedOn w:val="1"/>
    <w:qFormat/>
    <w:uiPriority w:val="0"/>
    <w:rPr>
      <w:sz w:val="28"/>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列出段落1"/>
    <w:basedOn w:val="1"/>
    <w:qFormat/>
    <w:uiPriority w:val="99"/>
    <w:pPr>
      <w:ind w:firstLine="42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2026-06-03T04:55:48Z</dcterms:created>
  <dc:creator>admin</dc:creator>
  <cp:lastModifiedBy>还好</cp:lastModifiedBy>
  <dcterms:modified xsi:type="dcterms:W3CDTF">2026-06-03T04:59:06Z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eyJoZGlkIjoiY2NiYzYyMTk4MTAwMGMxMTY2ODVlNjI3YzZiZDE4MzQiLCJ1c2VySWQiOiIzMjI4MTQxMjgifQ==</vt:lpwstr>
  </property>
  <property fmtid="{D5CDD505-2E9C-101B-9397-08002B2CF9AE}" pid="4" name="ICV">
    <vt:lpwstr>369043BC5EFC47E89793AA94D8E597AD_12</vt:lpwstr>
  </property>
</Properties>
</file>