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版本号：ZMZB2026SYDX-26220260701001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多普勒超声诊断系统采购项目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ZMZB2026SYDX-262</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多普勒超声诊断系统采购项目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ZMZB2026SYDX-262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多普勒超声诊断系统采购项目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多普勒超声诊断系统采购项目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合法注册的法人、其他组织或自然人，具有独立承担民事责任的能力：提供具有统一社会信用代码证的营业执照（或事业单位法人证），分支机构投标的，提供有效的分支机构营业执照，以及有效的总公司营业执照及总公司针对本项目的授权书；供应商为自然人的提供身份证</w:t>
      </w:r>
    </w:p>
    <w:p>
      <w:pPr>
        <w:pStyle w:val="null3"/>
      </w:pPr>
      <w:r>
        <w:rPr>
          <w:rFonts w:ascii="仿宋_GB2312" w:hAnsi="仿宋_GB2312" w:cs="仿宋_GB2312" w:eastAsia="仿宋_GB2312"/>
        </w:rPr>
        <w:t>2、财务状况证明：供应商提供2025年度经审计完整的财务审计报告（必须上传注册会计师行业统一监管平台并申请赋码，成立时间至提交投标文件截止时间不足一年的可提供成立后任意时段的资产负债表），或其开标前12个月内银行出具的资信证明，或财政部门认可的政府采购专业担保机构出具的投标担保函。注：财务状况中供应商提供的财务审计报告必须上传注册会计师行业统一监管平台并申请赋码，否则作无效投标处理</w:t>
      </w:r>
    </w:p>
    <w:p>
      <w:pPr>
        <w:pStyle w:val="null3"/>
      </w:pPr>
      <w:r>
        <w:rPr>
          <w:rFonts w:ascii="仿宋_GB2312" w:hAnsi="仿宋_GB2312" w:cs="仿宋_GB2312" w:eastAsia="仿宋_GB2312"/>
        </w:rPr>
        <w:t>3、具有履行本合同所必需专业技术能力的说明及承诺：具有履行本合同所必需专业技术能力的说明及承诺</w:t>
      </w:r>
    </w:p>
    <w:p>
      <w:pPr>
        <w:pStyle w:val="null3"/>
      </w:pPr>
      <w:r>
        <w:rPr>
          <w:rFonts w:ascii="仿宋_GB2312" w:hAnsi="仿宋_GB2312" w:cs="仿宋_GB2312" w:eastAsia="仿宋_GB2312"/>
        </w:rPr>
        <w:t>4、税收缴纳证明：提供开标截止时间前12个月内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5、社会保障资金缴纳证明：提供开标截止时间前12个月内任意一个月的社会保障资金缴存单据或社保机构开具的社会保险参保缴费情况证明。依法不需要缴纳社会保障资金的供应商应提供相关文件证明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授权书：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pStyle w:val="null3"/>
      </w:pPr>
      <w:r>
        <w:rPr>
          <w:rFonts w:ascii="仿宋_GB2312" w:hAnsi="仿宋_GB2312" w:cs="仿宋_GB2312" w:eastAsia="仿宋_GB2312"/>
        </w:rPr>
        <w:t>8、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029-88382833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侯倩雨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17778966063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 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代理服务费收费标准：采购代理服务费参照国家计委颁布的《招标代理服务收费管理暂行办法》（计价格[2002]1980号）号文件收费标准的90%收取。 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根据谈判文件要求、投标文件及合同约定执行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联系电话：17778966063</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1、采购目的 多普勒超声诊断系统用于开展天然气、氢、氨输送管道及储罐的腐蚀、裂纹、焊缝缺陷超声成像与定量评估研究，研究掺氢天然气、氢、氨等多相介质对结构的损伤机理与安全预警方法。以及上述问题的相关本、硕、博实验教学。 2、装置功能 多普勒超声诊断系统面向油气储运领域的教学科研，其核心功能为对管道、容器的无损伤快速检测；对材料内部的裂纹、腐蚀、气孔与夹杂等多种缺陷进行成像与高精度定位；缺陷2、3维高精度成像，缺陷虚拟模型重建；有限元缺陷建模，应力强度因子计算、弹/塑性断裂分析、裂纹扩展速率预测、PTS分析；复材粘接、焊接检测，脱粘、气孔识别，缺陷面积计算；管道腐蚀检测，腐蚀、减薄识别，缺陷面积计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1,350,000.00</w:t>
      </w:r>
    </w:p>
    <w:p>
      <w:pPr>
        <w:pStyle w:val="null3"/>
      </w:pPr>
      <w:r>
        <w:rPr>
          <w:rFonts w:ascii="仿宋_GB2312" w:hAnsi="仿宋_GB2312" w:cs="仿宋_GB2312" w:eastAsia="仿宋_GB2312"/>
        </w:rPr>
        <w:t>采购包最高限价（元）: 1,350,000.00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多普勒超声诊断系统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标的名称：多普勒超声诊断系统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62"/>
              <w:gridCol w:w="2091"/>
            </w:tblGrid>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w:t>
                  </w:r>
                </w:p>
              </w:tc>
              <w:tc>
                <w:tcPr>
                  <w:tcW w:type="dxa" w:w="20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主机</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接收</w:t>
                  </w:r>
                  <w:r>
                    <w:rPr>
                      <w:rFonts w:ascii="仿宋_GB2312" w:hAnsi="仿宋_GB2312" w:cs="仿宋_GB2312" w:eastAsia="仿宋_GB2312"/>
                      <w:sz w:val="21"/>
                    </w:rPr>
                    <w:t>/</w:t>
                  </w:r>
                  <w:r>
                    <w:rPr>
                      <w:rFonts w:ascii="仿宋_GB2312" w:hAnsi="仿宋_GB2312" w:cs="仿宋_GB2312" w:eastAsia="仿宋_GB2312"/>
                      <w:sz w:val="21"/>
                    </w:rPr>
                    <w:t>发射通道（测量路）数≥</w:t>
                  </w:r>
                  <w:r>
                    <w:rPr>
                      <w:rFonts w:ascii="仿宋_GB2312" w:hAnsi="仿宋_GB2312" w:cs="仿宋_GB2312" w:eastAsia="仿宋_GB2312"/>
                      <w:sz w:val="21"/>
                    </w:rPr>
                    <w:t>64/128</w:t>
                  </w:r>
                  <w:r>
                    <w:rPr>
                      <w:rFonts w:ascii="仿宋_GB2312" w:hAnsi="仿宋_GB2312" w:cs="仿宋_GB2312" w:eastAsia="仿宋_GB2312"/>
                      <w:sz w:val="21"/>
                    </w:rPr>
                    <w:t>个。</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支持多组全聚焦（</w:t>
                  </w:r>
                  <w:r>
                    <w:rPr>
                      <w:rFonts w:ascii="仿宋_GB2312" w:hAnsi="仿宋_GB2312" w:cs="仿宋_GB2312" w:eastAsia="仿宋_GB2312"/>
                      <w:sz w:val="21"/>
                    </w:rPr>
                    <w:t>TFM</w:t>
                  </w:r>
                  <w:r>
                    <w:rPr>
                      <w:rFonts w:ascii="仿宋_GB2312" w:hAnsi="仿宋_GB2312" w:cs="仿宋_GB2312" w:eastAsia="仿宋_GB2312"/>
                      <w:sz w:val="21"/>
                    </w:rPr>
                    <w:t>、</w:t>
                  </w:r>
                  <w:r>
                    <w:rPr>
                      <w:rFonts w:ascii="仿宋_GB2312" w:hAnsi="仿宋_GB2312" w:cs="仿宋_GB2312" w:eastAsia="仿宋_GB2312"/>
                      <w:sz w:val="21"/>
                    </w:rPr>
                    <w:t>PWI</w:t>
                  </w:r>
                  <w:r>
                    <w:rPr>
                      <w:rFonts w:ascii="仿宋_GB2312" w:hAnsi="仿宋_GB2312" w:cs="仿宋_GB2312" w:eastAsia="仿宋_GB2312"/>
                      <w:sz w:val="21"/>
                    </w:rPr>
                    <w:t>等），支持</w:t>
                  </w:r>
                  <w:r>
                    <w:rPr>
                      <w:rFonts w:ascii="仿宋_GB2312" w:hAnsi="仿宋_GB2312" w:cs="仿宋_GB2312" w:eastAsia="仿宋_GB2312"/>
                      <w:sz w:val="21"/>
                    </w:rPr>
                    <w:t>PAUT</w:t>
                  </w:r>
                  <w:r>
                    <w:rPr>
                      <w:rFonts w:ascii="仿宋_GB2312" w:hAnsi="仿宋_GB2312" w:cs="仿宋_GB2312" w:eastAsia="仿宋_GB2312"/>
                      <w:sz w:val="21"/>
                    </w:rPr>
                    <w:t>、</w:t>
                  </w:r>
                  <w:r>
                    <w:rPr>
                      <w:rFonts w:ascii="仿宋_GB2312" w:hAnsi="仿宋_GB2312" w:cs="仿宋_GB2312" w:eastAsia="仿宋_GB2312"/>
                      <w:sz w:val="21"/>
                    </w:rPr>
                    <w:t>UT</w:t>
                  </w:r>
                  <w:r>
                    <w:rPr>
                      <w:rFonts w:ascii="仿宋_GB2312" w:hAnsi="仿宋_GB2312" w:cs="仿宋_GB2312" w:eastAsia="仿宋_GB2312"/>
                      <w:sz w:val="21"/>
                    </w:rPr>
                    <w:t>等检测，支持相控阵</w:t>
                  </w:r>
                  <w:r>
                    <w:rPr>
                      <w:rFonts w:ascii="仿宋_GB2312" w:hAnsi="仿宋_GB2312" w:cs="仿宋_GB2312" w:eastAsia="仿宋_GB2312"/>
                      <w:sz w:val="21"/>
                    </w:rPr>
                    <w:t>2D</w:t>
                  </w:r>
                  <w:r>
                    <w:rPr>
                      <w:rFonts w:ascii="仿宋_GB2312" w:hAnsi="仿宋_GB2312" w:cs="仿宋_GB2312" w:eastAsia="仿宋_GB2312"/>
                      <w:sz w:val="21"/>
                    </w:rPr>
                    <w:t>、</w:t>
                  </w:r>
                  <w:r>
                    <w:rPr>
                      <w:rFonts w:ascii="仿宋_GB2312" w:hAnsi="仿宋_GB2312" w:cs="仿宋_GB2312" w:eastAsia="仿宋_GB2312"/>
                      <w:sz w:val="21"/>
                    </w:rPr>
                    <w:t>3D</w:t>
                  </w:r>
                  <w:r>
                    <w:rPr>
                      <w:rFonts w:ascii="仿宋_GB2312" w:hAnsi="仿宋_GB2312" w:cs="仿宋_GB2312" w:eastAsia="仿宋_GB2312"/>
                      <w:sz w:val="21"/>
                    </w:rPr>
                    <w:t>等检测。</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接收器增益范围</w:t>
                  </w:r>
                  <w:r>
                    <w:rPr>
                      <w:rFonts w:ascii="仿宋_GB2312" w:hAnsi="仿宋_GB2312" w:cs="仿宋_GB2312" w:eastAsia="仿宋_GB2312"/>
                      <w:sz w:val="21"/>
                    </w:rPr>
                    <w:t>0-120dB</w:t>
                  </w:r>
                  <w:r>
                    <w:rPr>
                      <w:rFonts w:ascii="仿宋_GB2312" w:hAnsi="仿宋_GB2312" w:cs="仿宋_GB2312" w:eastAsia="仿宋_GB2312"/>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PA</w:t>
                  </w:r>
                  <w:r>
                    <w:rPr>
                      <w:rFonts w:ascii="仿宋_GB2312" w:hAnsi="仿宋_GB2312" w:cs="仿宋_GB2312" w:eastAsia="仿宋_GB2312"/>
                      <w:sz w:val="21"/>
                    </w:rPr>
                    <w:t>脉冲电压：</w:t>
                  </w:r>
                  <w:r>
                    <w:rPr>
                      <w:rFonts w:ascii="仿宋_GB2312" w:hAnsi="仿宋_GB2312" w:cs="仿宋_GB2312" w:eastAsia="仿宋_GB2312"/>
                      <w:sz w:val="21"/>
                    </w:rPr>
                    <w:t>20V-150V</w:t>
                  </w:r>
                  <w:r>
                    <w:rPr>
                      <w:rFonts w:ascii="仿宋_GB2312" w:hAnsi="仿宋_GB2312" w:cs="仿宋_GB2312" w:eastAsia="仿宋_GB2312"/>
                      <w:sz w:val="21"/>
                    </w:rPr>
                    <w:t>；</w:t>
                  </w:r>
                  <w:r>
                    <w:rPr>
                      <w:rFonts w:ascii="仿宋_GB2312" w:hAnsi="仿宋_GB2312" w:cs="仿宋_GB2312" w:eastAsia="仿宋_GB2312"/>
                      <w:sz w:val="21"/>
                    </w:rPr>
                    <w:t>UT</w:t>
                  </w:r>
                  <w:r>
                    <w:rPr>
                      <w:rFonts w:ascii="仿宋_GB2312" w:hAnsi="仿宋_GB2312" w:cs="仿宋_GB2312" w:eastAsia="仿宋_GB2312"/>
                      <w:sz w:val="21"/>
                    </w:rPr>
                    <w:t>脉冲电压：</w:t>
                  </w:r>
                  <w:r>
                    <w:rPr>
                      <w:rFonts w:ascii="仿宋_GB2312" w:hAnsi="仿宋_GB2312" w:cs="仿宋_GB2312" w:eastAsia="仿宋_GB2312"/>
                      <w:sz w:val="21"/>
                    </w:rPr>
                    <w:t>100V-400V</w:t>
                  </w:r>
                  <w:r>
                    <w:rPr>
                      <w:rFonts w:ascii="仿宋_GB2312" w:hAnsi="仿宋_GB2312" w:cs="仿宋_GB2312" w:eastAsia="仿宋_GB2312"/>
                      <w:sz w:val="21"/>
                    </w:rPr>
                    <w:t>。脉冲宽度：</w:t>
                  </w:r>
                  <w:r>
                    <w:rPr>
                      <w:rFonts w:ascii="仿宋_GB2312" w:hAnsi="仿宋_GB2312" w:cs="仿宋_GB2312" w:eastAsia="仿宋_GB2312"/>
                      <w:sz w:val="21"/>
                    </w:rPr>
                    <w:t>20-1250ns/2.5ns</w:t>
                  </w:r>
                  <w:r>
                    <w:rPr>
                      <w:rFonts w:ascii="仿宋_GB2312" w:hAnsi="仿宋_GB2312" w:cs="仿宋_GB2312" w:eastAsia="仿宋_GB2312"/>
                      <w:sz w:val="21"/>
                    </w:rPr>
                    <w:t>。脉冲带宽：</w:t>
                  </w:r>
                  <w:r>
                    <w:rPr>
                      <w:rFonts w:ascii="仿宋_GB2312" w:hAnsi="仿宋_GB2312" w:cs="仿宋_GB2312" w:eastAsia="仿宋_GB2312"/>
                      <w:sz w:val="21"/>
                    </w:rPr>
                    <w:t>0.4-25MHz</w:t>
                  </w:r>
                  <w:r>
                    <w:rPr>
                      <w:rFonts w:ascii="仿宋_GB2312" w:hAnsi="仿宋_GB2312" w:cs="仿宋_GB2312" w:eastAsia="仿宋_GB2312"/>
                      <w:sz w:val="21"/>
                    </w:rPr>
                    <w:t>。脉冲重复频率</w:t>
                  </w:r>
                  <w:r>
                    <w:rPr>
                      <w:rFonts w:ascii="仿宋_GB2312" w:hAnsi="仿宋_GB2312" w:cs="仿宋_GB2312" w:eastAsia="仿宋_GB2312"/>
                      <w:sz w:val="21"/>
                    </w:rPr>
                    <w:t>200-40KHz</w:t>
                  </w:r>
                  <w:r>
                    <w:rPr>
                      <w:rFonts w:ascii="仿宋_GB2312" w:hAnsi="仿宋_GB2312" w:cs="仿宋_GB2312" w:eastAsia="仿宋_GB2312"/>
                      <w:sz w:val="21"/>
                    </w:rPr>
                    <w:t>。脉冲发射延迟时间≤</w:t>
                  </w:r>
                  <w:r>
                    <w:rPr>
                      <w:rFonts w:ascii="仿宋_GB2312" w:hAnsi="仿宋_GB2312" w:cs="仿宋_GB2312" w:eastAsia="仿宋_GB2312"/>
                      <w:sz w:val="21"/>
                    </w:rPr>
                    <w:t>20</w:t>
                  </w:r>
                  <w:r>
                    <w:rPr>
                      <w:rFonts w:ascii="仿宋_GB2312" w:hAnsi="仿宋_GB2312" w:cs="仿宋_GB2312" w:eastAsia="仿宋_GB2312"/>
                      <w:sz w:val="21"/>
                    </w:rPr>
                    <w:t>μ</w:t>
                  </w:r>
                  <w:r>
                    <w:rPr>
                      <w:rFonts w:ascii="仿宋_GB2312" w:hAnsi="仿宋_GB2312" w:cs="仿宋_GB2312" w:eastAsia="仿宋_GB2312"/>
                      <w:sz w:val="21"/>
                    </w:rPr>
                    <w:t>s</w:t>
                  </w:r>
                  <w:r>
                    <w:rPr>
                      <w:rFonts w:ascii="仿宋_GB2312" w:hAnsi="仿宋_GB2312" w:cs="仿宋_GB2312" w:eastAsia="仿宋_GB2312"/>
                      <w:sz w:val="21"/>
                    </w:rPr>
                    <w:t>，延迟精度≤</w:t>
                  </w:r>
                  <w:r>
                    <w:rPr>
                      <w:rFonts w:ascii="仿宋_GB2312" w:hAnsi="仿宋_GB2312" w:cs="仿宋_GB2312" w:eastAsia="仿宋_GB2312"/>
                      <w:sz w:val="21"/>
                    </w:rPr>
                    <w:t>2.5ns</w:t>
                  </w:r>
                  <w:r>
                    <w:rPr>
                      <w:rFonts w:ascii="仿宋_GB2312" w:hAnsi="仿宋_GB2312" w:cs="仿宋_GB2312" w:eastAsia="仿宋_GB2312"/>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脉冲形式：正方波</w:t>
                  </w:r>
                  <w:r>
                    <w:rPr>
                      <w:rFonts w:ascii="仿宋_GB2312" w:hAnsi="仿宋_GB2312" w:cs="仿宋_GB2312" w:eastAsia="仿宋_GB2312"/>
                      <w:sz w:val="21"/>
                    </w:rPr>
                    <w:t>/</w:t>
                  </w:r>
                  <w:r>
                    <w:rPr>
                      <w:rFonts w:ascii="仿宋_GB2312" w:hAnsi="仿宋_GB2312" w:cs="仿宋_GB2312" w:eastAsia="仿宋_GB2312"/>
                      <w:sz w:val="21"/>
                    </w:rPr>
                    <w:t>负方波</w:t>
                  </w:r>
                  <w:r>
                    <w:rPr>
                      <w:rFonts w:ascii="仿宋_GB2312" w:hAnsi="仿宋_GB2312" w:cs="仿宋_GB2312" w:eastAsia="仿宋_GB2312"/>
                      <w:sz w:val="21"/>
                    </w:rPr>
                    <w:t>/</w:t>
                  </w:r>
                  <w:r>
                    <w:rPr>
                      <w:rFonts w:ascii="仿宋_GB2312" w:hAnsi="仿宋_GB2312" w:cs="仿宋_GB2312" w:eastAsia="仿宋_GB2312"/>
                      <w:sz w:val="21"/>
                    </w:rPr>
                    <w:t>双极性方波。</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数据采样率</w:t>
                  </w:r>
                  <w:r>
                    <w:rPr>
                      <w:rFonts w:ascii="仿宋_GB2312" w:hAnsi="仿宋_GB2312" w:cs="仿宋_GB2312" w:eastAsia="仿宋_GB2312"/>
                      <w:sz w:val="21"/>
                    </w:rPr>
                    <w:t>≥</w:t>
                  </w:r>
                  <w:r>
                    <w:rPr>
                      <w:rFonts w:ascii="仿宋_GB2312" w:hAnsi="仿宋_GB2312" w:cs="仿宋_GB2312" w:eastAsia="仿宋_GB2312"/>
                      <w:sz w:val="21"/>
                    </w:rPr>
                    <w:t>100MHz</w:t>
                  </w:r>
                  <w:r>
                    <w:rPr>
                      <w:rFonts w:ascii="仿宋_GB2312" w:hAnsi="仿宋_GB2312" w:cs="仿宋_GB2312" w:eastAsia="仿宋_GB2312"/>
                      <w:sz w:val="21"/>
                    </w:rPr>
                    <w:t>。全聚焦点数≥</w:t>
                  </w:r>
                  <w:r>
                    <w:rPr>
                      <w:rFonts w:ascii="仿宋_GB2312" w:hAnsi="仿宋_GB2312" w:cs="仿宋_GB2312" w:eastAsia="仿宋_GB2312"/>
                      <w:sz w:val="21"/>
                    </w:rPr>
                    <w:t>1024*1024</w:t>
                  </w:r>
                  <w:r>
                    <w:rPr>
                      <w:rFonts w:ascii="仿宋_GB2312" w:hAnsi="仿宋_GB2312" w:cs="仿宋_GB2312" w:eastAsia="仿宋_GB2312"/>
                      <w:sz w:val="21"/>
                    </w:rPr>
                    <w:t>。声测量范围：</w:t>
                  </w:r>
                  <w:r>
                    <w:rPr>
                      <w:rFonts w:ascii="仿宋_GB2312" w:hAnsi="仿宋_GB2312" w:cs="仿宋_GB2312" w:eastAsia="仿宋_GB2312"/>
                      <w:sz w:val="21"/>
                    </w:rPr>
                    <w:t>0-200mm</w:t>
                  </w:r>
                  <w:r>
                    <w:rPr>
                      <w:rFonts w:ascii="仿宋_GB2312" w:hAnsi="仿宋_GB2312" w:cs="仿宋_GB2312" w:eastAsia="仿宋_GB2312"/>
                      <w:sz w:val="21"/>
                    </w:rPr>
                    <w:t>（钢中声波</w:t>
                  </w:r>
                  <w:r>
                    <w:rPr>
                      <w:rFonts w:ascii="仿宋_GB2312" w:hAnsi="仿宋_GB2312" w:cs="仿宋_GB2312" w:eastAsia="仿宋_GB2312"/>
                      <w:sz w:val="21"/>
                    </w:rPr>
                    <w:t>5900m/s</w:t>
                  </w:r>
                  <w:r>
                    <w:rPr>
                      <w:rFonts w:ascii="仿宋_GB2312" w:hAnsi="仿宋_GB2312" w:cs="仿宋_GB2312" w:eastAsia="仿宋_GB2312"/>
                      <w:sz w:val="21"/>
                    </w:rPr>
                    <w:t>条件）。声速</w:t>
                  </w:r>
                  <w:r>
                    <w:rPr>
                      <w:rFonts w:ascii="仿宋_GB2312" w:hAnsi="仿宋_GB2312" w:cs="仿宋_GB2312" w:eastAsia="仿宋_GB2312"/>
                      <w:sz w:val="21"/>
                    </w:rPr>
                    <w:t>635m/s-15240m/s</w:t>
                  </w:r>
                  <w:r>
                    <w:rPr>
                      <w:rFonts w:ascii="仿宋_GB2312" w:hAnsi="仿宋_GB2312" w:cs="仿宋_GB2312" w:eastAsia="仿宋_GB2312"/>
                      <w:sz w:val="21"/>
                    </w:rPr>
                    <w:t>。零位偏移（系统延迟）：</w:t>
                  </w:r>
                  <w:r>
                    <w:rPr>
                      <w:rFonts w:ascii="仿宋_GB2312" w:hAnsi="仿宋_GB2312" w:cs="仿宋_GB2312" w:eastAsia="仿宋_GB2312"/>
                      <w:sz w:val="21"/>
                    </w:rPr>
                    <w:t>0µs-50µs</w:t>
                  </w:r>
                  <w:r>
                    <w:rPr>
                      <w:rFonts w:ascii="仿宋_GB2312" w:hAnsi="仿宋_GB2312" w:cs="仿宋_GB2312" w:eastAsia="仿宋_GB2312"/>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2</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探头</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配置阵元数</w:t>
                  </w:r>
                  <w:r>
                    <w:rPr>
                      <w:rFonts w:ascii="仿宋_GB2312" w:hAnsi="仿宋_GB2312" w:cs="仿宋_GB2312" w:eastAsia="仿宋_GB2312"/>
                      <w:sz w:val="21"/>
                    </w:rPr>
                    <w:t>≥</w:t>
                  </w:r>
                  <w:r>
                    <w:rPr>
                      <w:rFonts w:ascii="仿宋_GB2312" w:hAnsi="仿宋_GB2312" w:cs="仿宋_GB2312" w:eastAsia="仿宋_GB2312"/>
                      <w:sz w:val="21"/>
                    </w:rPr>
                    <w:t>128</w:t>
                  </w:r>
                  <w:r>
                    <w:rPr>
                      <w:rFonts w:ascii="仿宋_GB2312" w:hAnsi="仿宋_GB2312" w:cs="仿宋_GB2312" w:eastAsia="仿宋_GB2312"/>
                      <w:sz w:val="21"/>
                    </w:rPr>
                    <w:t>的矩阵检测探头和相关附件≥</w:t>
                  </w:r>
                  <w:r>
                    <w:rPr>
                      <w:rFonts w:ascii="仿宋_GB2312" w:hAnsi="仿宋_GB2312" w:cs="仿宋_GB2312" w:eastAsia="仿宋_GB2312"/>
                      <w:sz w:val="21"/>
                    </w:rPr>
                    <w:t>1</w:t>
                  </w:r>
                  <w:r>
                    <w:rPr>
                      <w:rFonts w:ascii="仿宋_GB2312" w:hAnsi="仿宋_GB2312" w:cs="仿宋_GB2312" w:eastAsia="仿宋_GB2312"/>
                      <w:sz w:val="21"/>
                    </w:rPr>
                    <w:t>套，可实现对碳钢、奥氏体不锈钢、复合材料平面</w:t>
                  </w:r>
                  <w:r>
                    <w:rPr>
                      <w:rFonts w:ascii="仿宋_GB2312" w:hAnsi="仿宋_GB2312" w:cs="仿宋_GB2312" w:eastAsia="仿宋_GB2312"/>
                      <w:sz w:val="21"/>
                    </w:rPr>
                    <w:t>/</w:t>
                  </w:r>
                  <w:r>
                    <w:rPr>
                      <w:rFonts w:ascii="仿宋_GB2312" w:hAnsi="仿宋_GB2312" w:cs="仿宋_GB2312" w:eastAsia="仿宋_GB2312"/>
                      <w:sz w:val="21"/>
                    </w:rPr>
                    <w:t>大直径曲面的母材和焊缝检测。</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2.2</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配置阵元数</w:t>
                  </w:r>
                  <w:r>
                    <w:rPr>
                      <w:rFonts w:ascii="仿宋_GB2312" w:hAnsi="仿宋_GB2312" w:cs="仿宋_GB2312" w:eastAsia="仿宋_GB2312"/>
                      <w:sz w:val="21"/>
                    </w:rPr>
                    <w:t>≥</w:t>
                  </w:r>
                  <w:r>
                    <w:rPr>
                      <w:rFonts w:ascii="仿宋_GB2312" w:hAnsi="仿宋_GB2312" w:cs="仿宋_GB2312" w:eastAsia="仿宋_GB2312"/>
                      <w:sz w:val="21"/>
                    </w:rPr>
                    <w:t>64</w:t>
                  </w:r>
                  <w:r>
                    <w:rPr>
                      <w:rFonts w:ascii="仿宋_GB2312" w:hAnsi="仿宋_GB2312" w:cs="仿宋_GB2312" w:eastAsia="仿宋_GB2312"/>
                      <w:sz w:val="21"/>
                    </w:rPr>
                    <w:t>的线阵检测探头和相关附件≥</w:t>
                  </w:r>
                  <w:r>
                    <w:rPr>
                      <w:rFonts w:ascii="仿宋_GB2312" w:hAnsi="仿宋_GB2312" w:cs="仿宋_GB2312" w:eastAsia="仿宋_GB2312"/>
                      <w:sz w:val="21"/>
                    </w:rPr>
                    <w:t>1</w:t>
                  </w:r>
                  <w:r>
                    <w:rPr>
                      <w:rFonts w:ascii="仿宋_GB2312" w:hAnsi="仿宋_GB2312" w:cs="仿宋_GB2312" w:eastAsia="仿宋_GB2312"/>
                      <w:sz w:val="21"/>
                    </w:rPr>
                    <w:t>套，实现对碳钢、奥氏体不锈钢、复合材料管道、压力容器的母材和焊缝检测。</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2.3</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防护等级不低于</w:t>
                  </w:r>
                  <w:r>
                    <w:rPr>
                      <w:rFonts w:ascii="仿宋_GB2312" w:hAnsi="仿宋_GB2312" w:cs="仿宋_GB2312" w:eastAsia="仿宋_GB2312"/>
                      <w:sz w:val="21"/>
                    </w:rPr>
                    <w:t>IP65</w:t>
                  </w:r>
                  <w:r>
                    <w:rPr>
                      <w:rFonts w:ascii="仿宋_GB2312" w:hAnsi="仿宋_GB2312" w:cs="仿宋_GB2312" w:eastAsia="仿宋_GB2312"/>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3</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扫查机构</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3.1</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管道专用扫查器</w:t>
                  </w:r>
                  <w:r>
                    <w:rPr>
                      <w:rFonts w:ascii="仿宋_GB2312" w:hAnsi="仿宋_GB2312" w:cs="仿宋_GB2312" w:eastAsia="仿宋_GB2312"/>
                      <w:sz w:val="21"/>
                    </w:rPr>
                    <w:t>1</w:t>
                  </w:r>
                  <w:r>
                    <w:rPr>
                      <w:rFonts w:ascii="仿宋_GB2312" w:hAnsi="仿宋_GB2312" w:cs="仿宋_GB2312" w:eastAsia="仿宋_GB2312"/>
                      <w:sz w:val="21"/>
                    </w:rPr>
                    <w:t>套，支持管外径范围（</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300</w:t>
                  </w:r>
                  <w:r>
                    <w:rPr>
                      <w:rFonts w:ascii="仿宋_GB2312" w:hAnsi="仿宋_GB2312" w:cs="仿宋_GB2312" w:eastAsia="仿宋_GB2312"/>
                      <w:sz w:val="21"/>
                    </w:rPr>
                    <w:t>）</w:t>
                  </w:r>
                  <w:r>
                    <w:rPr>
                      <w:rFonts w:ascii="仿宋_GB2312" w:hAnsi="仿宋_GB2312" w:cs="仿宋_GB2312" w:eastAsia="仿宋_GB2312"/>
                      <w:sz w:val="21"/>
                    </w:rPr>
                    <w:t>mm</w:t>
                  </w:r>
                  <w:r>
                    <w:rPr>
                      <w:rFonts w:ascii="仿宋_GB2312" w:hAnsi="仿宋_GB2312" w:cs="仿宋_GB2312" w:eastAsia="仿宋_GB2312"/>
                      <w:sz w:val="21"/>
                    </w:rPr>
                    <w:t>，行动范围：轴向≥</w:t>
                  </w:r>
                  <w:r>
                    <w:rPr>
                      <w:rFonts w:ascii="仿宋_GB2312" w:hAnsi="仿宋_GB2312" w:cs="仿宋_GB2312" w:eastAsia="仿宋_GB2312"/>
                      <w:sz w:val="21"/>
                    </w:rPr>
                    <w:t>200mm</w:t>
                  </w:r>
                  <w:r>
                    <w:rPr>
                      <w:rFonts w:ascii="仿宋_GB2312" w:hAnsi="仿宋_GB2312" w:cs="仿宋_GB2312" w:eastAsia="仿宋_GB2312"/>
                      <w:sz w:val="21"/>
                    </w:rPr>
                    <w:t>、周向</w:t>
                  </w:r>
                  <w:r>
                    <w:rPr>
                      <w:rFonts w:ascii="仿宋_GB2312" w:hAnsi="仿宋_GB2312" w:cs="仿宋_GB2312" w:eastAsia="仿宋_GB2312"/>
                      <w:sz w:val="21"/>
                    </w:rPr>
                    <w:t>360</w:t>
                  </w:r>
                  <w:r>
                    <w:rPr>
                      <w:rFonts w:ascii="仿宋_GB2312" w:hAnsi="仿宋_GB2312" w:cs="仿宋_GB2312" w:eastAsia="仿宋_GB2312"/>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3.2</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平面</w:t>
                  </w:r>
                  <w:r>
                    <w:rPr>
                      <w:rFonts w:ascii="仿宋_GB2312" w:hAnsi="仿宋_GB2312" w:cs="仿宋_GB2312" w:eastAsia="仿宋_GB2312"/>
                      <w:sz w:val="21"/>
                    </w:rPr>
                    <w:t>/</w:t>
                  </w:r>
                  <w:r>
                    <w:rPr>
                      <w:rFonts w:ascii="仿宋_GB2312" w:hAnsi="仿宋_GB2312" w:cs="仿宋_GB2312" w:eastAsia="仿宋_GB2312"/>
                      <w:sz w:val="21"/>
                    </w:rPr>
                    <w:t>大直径曲面扫查器</w:t>
                  </w:r>
                  <w:r>
                    <w:rPr>
                      <w:rFonts w:ascii="仿宋_GB2312" w:hAnsi="仿宋_GB2312" w:cs="仿宋_GB2312" w:eastAsia="仿宋_GB2312"/>
                      <w:sz w:val="21"/>
                    </w:rPr>
                    <w:t>1</w:t>
                  </w:r>
                  <w:r>
                    <w:rPr>
                      <w:rFonts w:ascii="仿宋_GB2312" w:hAnsi="仿宋_GB2312" w:cs="仿宋_GB2312" w:eastAsia="仿宋_GB2312"/>
                      <w:sz w:val="21"/>
                    </w:rPr>
                    <w:t>套，行动范围：</w:t>
                  </w:r>
                  <w:r>
                    <w:rPr>
                      <w:rFonts w:ascii="仿宋_GB2312" w:hAnsi="仿宋_GB2312" w:cs="仿宋_GB2312" w:eastAsia="仿宋_GB2312"/>
                      <w:sz w:val="21"/>
                    </w:rPr>
                    <w:t>200*200mm</w:t>
                  </w:r>
                  <w:r>
                    <w:rPr>
                      <w:rFonts w:ascii="仿宋_GB2312" w:hAnsi="仿宋_GB2312" w:cs="仿宋_GB2312" w:eastAsia="仿宋_GB2312"/>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3.3</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所有扫查器的线性精度</w:t>
                  </w:r>
                  <w:r>
                    <w:rPr>
                      <w:rFonts w:ascii="仿宋_GB2312" w:hAnsi="仿宋_GB2312" w:cs="仿宋_GB2312" w:eastAsia="仿宋_GB2312"/>
                      <w:sz w:val="21"/>
                    </w:rPr>
                    <w:t>≤</w:t>
                  </w:r>
                  <w:r>
                    <w:rPr>
                      <w:rFonts w:ascii="仿宋_GB2312" w:hAnsi="仿宋_GB2312" w:cs="仿宋_GB2312" w:eastAsia="仿宋_GB2312"/>
                      <w:sz w:val="21"/>
                    </w:rPr>
                    <w:t>0.2mm/step</w:t>
                  </w:r>
                  <w:r>
                    <w:rPr>
                      <w:rFonts w:ascii="仿宋_GB2312" w:hAnsi="仿宋_GB2312" w:cs="仿宋_GB2312" w:eastAsia="仿宋_GB2312"/>
                      <w:sz w:val="21"/>
                    </w:rPr>
                    <w:t>。</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3.4</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编码器：</w:t>
                  </w:r>
                  <w:r>
                    <w:rPr>
                      <w:rFonts w:ascii="仿宋_GB2312" w:hAnsi="仿宋_GB2312" w:cs="仿宋_GB2312" w:eastAsia="仿宋_GB2312"/>
                      <w:sz w:val="21"/>
                    </w:rPr>
                    <w:t>LEMO-16</w:t>
                  </w:r>
                  <w:r>
                    <w:rPr>
                      <w:rFonts w:ascii="仿宋_GB2312" w:hAnsi="仿宋_GB2312" w:cs="仿宋_GB2312" w:eastAsia="仿宋_GB2312"/>
                      <w:sz w:val="21"/>
                    </w:rPr>
                    <w:t>编码器。</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4</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分析配件</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4.1</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专用分析、处理、显示终端（配置不低于：</w:t>
                  </w:r>
                  <w:r>
                    <w:rPr>
                      <w:rFonts w:ascii="仿宋_GB2312" w:hAnsi="仿宋_GB2312" w:cs="仿宋_GB2312" w:eastAsia="仿宋_GB2312"/>
                      <w:sz w:val="21"/>
                    </w:rPr>
                    <w:t>64</w:t>
                  </w:r>
                  <w:r>
                    <w:rPr>
                      <w:rFonts w:ascii="仿宋_GB2312" w:hAnsi="仿宋_GB2312" w:cs="仿宋_GB2312" w:eastAsia="仿宋_GB2312"/>
                      <w:sz w:val="21"/>
                    </w:rPr>
                    <w:t>物理核心</w:t>
                  </w: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128G</w:t>
                  </w:r>
                  <w:r>
                    <w:rPr>
                      <w:rFonts w:ascii="仿宋_GB2312" w:hAnsi="仿宋_GB2312" w:cs="仿宋_GB2312" w:eastAsia="仿宋_GB2312"/>
                      <w:sz w:val="21"/>
                    </w:rPr>
                    <w:t>内存，</w:t>
                  </w:r>
                  <w:r>
                    <w:rPr>
                      <w:rFonts w:ascii="仿宋_GB2312" w:hAnsi="仿宋_GB2312" w:cs="仿宋_GB2312" w:eastAsia="仿宋_GB2312"/>
                      <w:sz w:val="21"/>
                    </w:rPr>
                    <w:t>4T</w:t>
                  </w:r>
                  <w:r>
                    <w:rPr>
                      <w:rFonts w:ascii="仿宋_GB2312" w:hAnsi="仿宋_GB2312" w:cs="仿宋_GB2312" w:eastAsia="仿宋_GB2312"/>
                      <w:sz w:val="21"/>
                    </w:rPr>
                    <w:t xml:space="preserve">固态硬盘，独立显卡，显存≥ </w:t>
                  </w:r>
                  <w:r>
                    <w:rPr>
                      <w:rFonts w:ascii="仿宋_GB2312" w:hAnsi="仿宋_GB2312" w:cs="仿宋_GB2312" w:eastAsia="仿宋_GB2312"/>
                      <w:sz w:val="21"/>
                    </w:rPr>
                    <w:t xml:space="preserve">8G </w:t>
                  </w:r>
                  <w:r>
                    <w:rPr>
                      <w:rFonts w:ascii="仿宋_GB2312" w:hAnsi="仿宋_GB2312" w:cs="仿宋_GB2312" w:eastAsia="仿宋_GB2312"/>
                      <w:sz w:val="21"/>
                    </w:rPr>
                    <w:t>，显示器≥</w:t>
                  </w:r>
                  <w:r>
                    <w:rPr>
                      <w:rFonts w:ascii="仿宋_GB2312" w:hAnsi="仿宋_GB2312" w:cs="仿宋_GB2312" w:eastAsia="仿宋_GB2312"/>
                      <w:sz w:val="21"/>
                    </w:rPr>
                    <w:t>24</w:t>
                  </w:r>
                  <w:r>
                    <w:rPr>
                      <w:rFonts w:ascii="仿宋_GB2312" w:hAnsi="仿宋_GB2312" w:cs="仿宋_GB2312" w:eastAsia="仿宋_GB2312"/>
                      <w:sz w:val="21"/>
                    </w:rPr>
                    <w:t>英寸），具备</w:t>
                  </w:r>
                  <w:r>
                    <w:rPr>
                      <w:rFonts w:ascii="仿宋_GB2312" w:hAnsi="仿宋_GB2312" w:cs="仿宋_GB2312" w:eastAsia="仿宋_GB2312"/>
                      <w:sz w:val="21"/>
                    </w:rPr>
                    <w:t>SD</w:t>
                  </w:r>
                  <w:r>
                    <w:rPr>
                      <w:rFonts w:ascii="仿宋_GB2312" w:hAnsi="仿宋_GB2312" w:cs="仿宋_GB2312" w:eastAsia="仿宋_GB2312"/>
                      <w:sz w:val="21"/>
                    </w:rPr>
                    <w:t>卡、</w:t>
                  </w:r>
                  <w:r>
                    <w:rPr>
                      <w:rFonts w:ascii="仿宋_GB2312" w:hAnsi="仿宋_GB2312" w:cs="仿宋_GB2312" w:eastAsia="仿宋_GB2312"/>
                      <w:sz w:val="21"/>
                    </w:rPr>
                    <w:t>USB3.0</w:t>
                  </w:r>
                  <w:r>
                    <w:rPr>
                      <w:rFonts w:ascii="仿宋_GB2312" w:hAnsi="仿宋_GB2312" w:cs="仿宋_GB2312" w:eastAsia="仿宋_GB2312"/>
                      <w:sz w:val="21"/>
                    </w:rPr>
                    <w:t>、千兆网口、</w:t>
                  </w:r>
                  <w:r>
                    <w:rPr>
                      <w:rFonts w:ascii="仿宋_GB2312" w:hAnsi="仿宋_GB2312" w:cs="仿宋_GB2312" w:eastAsia="仿宋_GB2312"/>
                      <w:sz w:val="21"/>
                    </w:rPr>
                    <w:t>WIFI</w:t>
                  </w:r>
                  <w:r>
                    <w:rPr>
                      <w:rFonts w:ascii="仿宋_GB2312" w:hAnsi="仿宋_GB2312" w:cs="仿宋_GB2312" w:eastAsia="仿宋_GB2312"/>
                      <w:sz w:val="21"/>
                    </w:rPr>
                    <w:t>、</w:t>
                  </w:r>
                  <w:r>
                    <w:rPr>
                      <w:rFonts w:ascii="仿宋_GB2312" w:hAnsi="仿宋_GB2312" w:cs="仿宋_GB2312" w:eastAsia="仿宋_GB2312"/>
                      <w:sz w:val="21"/>
                    </w:rPr>
                    <w:t>HDMI</w:t>
                  </w:r>
                  <w:r>
                    <w:rPr>
                      <w:rFonts w:ascii="仿宋_GB2312" w:hAnsi="仿宋_GB2312" w:cs="仿宋_GB2312" w:eastAsia="仿宋_GB2312"/>
                      <w:sz w:val="21"/>
                    </w:rPr>
                    <w:t>、编码器、数字</w:t>
                  </w:r>
                  <w:r>
                    <w:rPr>
                      <w:rFonts w:ascii="仿宋_GB2312" w:hAnsi="仿宋_GB2312" w:cs="仿宋_GB2312" w:eastAsia="仿宋_GB2312"/>
                      <w:sz w:val="21"/>
                    </w:rPr>
                    <w:t>I/O</w:t>
                  </w:r>
                  <w:r>
                    <w:rPr>
                      <w:rFonts w:ascii="仿宋_GB2312" w:hAnsi="仿宋_GB2312" w:cs="仿宋_GB2312" w:eastAsia="仿宋_GB2312"/>
                      <w:sz w:val="21"/>
                    </w:rPr>
                    <w:t>等接口。</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4.2</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支持编码器高速扫查，可重建</w:t>
                  </w:r>
                  <w:r>
                    <w:rPr>
                      <w:rFonts w:ascii="仿宋_GB2312" w:hAnsi="仿宋_GB2312" w:cs="仿宋_GB2312" w:eastAsia="仿宋_GB2312"/>
                      <w:sz w:val="21"/>
                    </w:rPr>
                    <w:t>S</w:t>
                  </w:r>
                  <w:r>
                    <w:rPr>
                      <w:rFonts w:ascii="仿宋_GB2312" w:hAnsi="仿宋_GB2312" w:cs="仿宋_GB2312" w:eastAsia="仿宋_GB2312"/>
                      <w:sz w:val="21"/>
                    </w:rPr>
                    <w:t>扫和</w:t>
                  </w:r>
                  <w:r>
                    <w:rPr>
                      <w:rFonts w:ascii="仿宋_GB2312" w:hAnsi="仿宋_GB2312" w:cs="仿宋_GB2312" w:eastAsia="仿宋_GB2312"/>
                      <w:sz w:val="21"/>
                    </w:rPr>
                    <w:t>A</w:t>
                  </w:r>
                  <w:r>
                    <w:rPr>
                      <w:rFonts w:ascii="仿宋_GB2312" w:hAnsi="仿宋_GB2312" w:cs="仿宋_GB2312" w:eastAsia="仿宋_GB2312"/>
                      <w:sz w:val="21"/>
                    </w:rPr>
                    <w:t>扫数据，具备断面重建融合功能，可查看任意断面图谱。</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4.3</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支持相控阵</w:t>
                  </w:r>
                  <w:r>
                    <w:rPr>
                      <w:rFonts w:ascii="仿宋_GB2312" w:hAnsi="仿宋_GB2312" w:cs="仿宋_GB2312" w:eastAsia="仿宋_GB2312"/>
                      <w:sz w:val="21"/>
                    </w:rPr>
                    <w:t>3D</w:t>
                  </w:r>
                  <w:r>
                    <w:rPr>
                      <w:rFonts w:ascii="仿宋_GB2312" w:hAnsi="仿宋_GB2312" w:cs="仿宋_GB2312" w:eastAsia="仿宋_GB2312"/>
                      <w:sz w:val="21"/>
                    </w:rPr>
                    <w:t>实时成像。</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4.4</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具备相控阵检测分析功能。包括</w:t>
                  </w:r>
                  <w:r>
                    <w:rPr>
                      <w:rFonts w:ascii="仿宋_GB2312" w:hAnsi="仿宋_GB2312" w:cs="仿宋_GB2312" w:eastAsia="仿宋_GB2312"/>
                      <w:sz w:val="21"/>
                    </w:rPr>
                    <w:t>A</w:t>
                  </w:r>
                  <w:r>
                    <w:rPr>
                      <w:rFonts w:ascii="仿宋_GB2312" w:hAnsi="仿宋_GB2312" w:cs="仿宋_GB2312" w:eastAsia="仿宋_GB2312"/>
                      <w:sz w:val="21"/>
                    </w:rPr>
                    <w:t>、</w:t>
                  </w:r>
                  <w:r>
                    <w:rPr>
                      <w:rFonts w:ascii="仿宋_GB2312" w:hAnsi="仿宋_GB2312" w:cs="仿宋_GB2312" w:eastAsia="仿宋_GB2312"/>
                      <w:sz w:val="21"/>
                    </w:rPr>
                    <w:t>B</w:t>
                  </w:r>
                  <w:r>
                    <w:rPr>
                      <w:rFonts w:ascii="仿宋_GB2312" w:hAnsi="仿宋_GB2312" w:cs="仿宋_GB2312" w:eastAsia="仿宋_GB2312"/>
                      <w:sz w:val="21"/>
                    </w:rPr>
                    <w:t>、</w:t>
                  </w:r>
                  <w:r>
                    <w:rPr>
                      <w:rFonts w:ascii="仿宋_GB2312" w:hAnsi="仿宋_GB2312" w:cs="仿宋_GB2312" w:eastAsia="仿宋_GB2312"/>
                      <w:sz w:val="21"/>
                    </w:rPr>
                    <w:t>VB</w:t>
                  </w:r>
                  <w:r>
                    <w:rPr>
                      <w:rFonts w:ascii="仿宋_GB2312" w:hAnsi="仿宋_GB2312" w:cs="仿宋_GB2312" w:eastAsia="仿宋_GB2312"/>
                      <w:sz w:val="21"/>
                    </w:rPr>
                    <w:t>、</w:t>
                  </w:r>
                  <w:r>
                    <w:rPr>
                      <w:rFonts w:ascii="仿宋_GB2312" w:hAnsi="仿宋_GB2312" w:cs="仿宋_GB2312" w:eastAsia="仿宋_GB2312"/>
                      <w:sz w:val="21"/>
                    </w:rPr>
                    <w:t>Side B</w:t>
                  </w:r>
                  <w:r>
                    <w:rPr>
                      <w:rFonts w:ascii="仿宋_GB2312" w:hAnsi="仿宋_GB2312" w:cs="仿宋_GB2312" w:eastAsia="仿宋_GB2312"/>
                      <w:sz w:val="21"/>
                    </w:rPr>
                    <w:t>、</w:t>
                  </w:r>
                  <w:r>
                    <w:rPr>
                      <w:rFonts w:ascii="仿宋_GB2312" w:hAnsi="仿宋_GB2312" w:cs="仿宋_GB2312" w:eastAsia="仿宋_GB2312"/>
                      <w:sz w:val="21"/>
                    </w:rPr>
                    <w:t>S</w:t>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rPr>
                    <w:t>、</w:t>
                  </w:r>
                  <w:r>
                    <w:rPr>
                      <w:rFonts w:ascii="仿宋_GB2312" w:hAnsi="仿宋_GB2312" w:cs="仿宋_GB2312" w:eastAsia="仿宋_GB2312"/>
                      <w:sz w:val="21"/>
                    </w:rPr>
                    <w:t>D</w:t>
                  </w:r>
                  <w:r>
                    <w:rPr>
                      <w:rFonts w:ascii="仿宋_GB2312" w:hAnsi="仿宋_GB2312" w:cs="仿宋_GB2312" w:eastAsia="仿宋_GB2312"/>
                      <w:sz w:val="21"/>
                    </w:rPr>
                    <w:t>、</w:t>
                  </w:r>
                  <w:r>
                    <w:rPr>
                      <w:rFonts w:ascii="仿宋_GB2312" w:hAnsi="仿宋_GB2312" w:cs="仿宋_GB2312" w:eastAsia="仿宋_GB2312"/>
                      <w:sz w:val="21"/>
                    </w:rPr>
                    <w:t>TopC</w:t>
                  </w:r>
                  <w:r>
                    <w:rPr>
                      <w:rFonts w:ascii="仿宋_GB2312" w:hAnsi="仿宋_GB2312" w:cs="仿宋_GB2312" w:eastAsia="仿宋_GB2312"/>
                      <w:sz w:val="21"/>
                    </w:rPr>
                    <w:t>、带状图、</w:t>
                  </w:r>
                  <w:r>
                    <w:rPr>
                      <w:rFonts w:ascii="仿宋_GB2312" w:hAnsi="仿宋_GB2312" w:cs="仿宋_GB2312" w:eastAsia="仿宋_GB2312"/>
                      <w:sz w:val="21"/>
                    </w:rPr>
                    <w:t>3D</w:t>
                  </w:r>
                  <w:r>
                    <w:rPr>
                      <w:rFonts w:ascii="仿宋_GB2312" w:hAnsi="仿宋_GB2312" w:cs="仿宋_GB2312" w:eastAsia="仿宋_GB2312"/>
                      <w:sz w:val="21"/>
                    </w:rPr>
                    <w:t>等视图，支持单组多个</w:t>
                  </w:r>
                  <w:r>
                    <w:rPr>
                      <w:rFonts w:ascii="仿宋_GB2312" w:hAnsi="仿宋_GB2312" w:cs="仿宋_GB2312" w:eastAsia="仿宋_GB2312"/>
                      <w:sz w:val="21"/>
                    </w:rPr>
                    <w:t>C</w:t>
                  </w:r>
                  <w:r>
                    <w:rPr>
                      <w:rFonts w:ascii="仿宋_GB2312" w:hAnsi="仿宋_GB2312" w:cs="仿宋_GB2312" w:eastAsia="仿宋_GB2312"/>
                      <w:sz w:val="21"/>
                    </w:rPr>
                    <w:t>扫显示，超声检测设置，闸门报警设置，聚焦法则仿真，机械扫查设置，校准，测量，报表输出等功能。</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4.5</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具备损伤力学分析功能。包括有限元缺陷建模，根据测试结果计算</w:t>
                  </w:r>
                  <w:r>
                    <w:rPr>
                      <w:rFonts w:ascii="仿宋_GB2312" w:hAnsi="仿宋_GB2312" w:cs="仿宋_GB2312" w:eastAsia="仿宋_GB2312"/>
                      <w:sz w:val="21"/>
                    </w:rPr>
                    <w:t>K</w:t>
                  </w:r>
                  <w:r>
                    <w:rPr>
                      <w:rFonts w:ascii="仿宋_GB2312" w:hAnsi="仿宋_GB2312" w:cs="仿宋_GB2312" w:eastAsia="仿宋_GB2312"/>
                      <w:sz w:val="21"/>
                      <w:vertAlign w:val="subscript"/>
                    </w:rPr>
                    <w:t>Ic</w:t>
                  </w:r>
                  <w:r>
                    <w:rPr>
                      <w:rFonts w:ascii="仿宋_GB2312" w:hAnsi="仿宋_GB2312" w:cs="仿宋_GB2312" w:eastAsia="仿宋_GB2312"/>
                      <w:sz w:val="21"/>
                    </w:rPr>
                    <w:t>、</w:t>
                  </w:r>
                  <w:r>
                    <w:rPr>
                      <w:rFonts w:ascii="仿宋_GB2312" w:hAnsi="仿宋_GB2312" w:cs="仿宋_GB2312" w:eastAsia="仿宋_GB2312"/>
                      <w:sz w:val="21"/>
                    </w:rPr>
                    <w:t>K</w:t>
                  </w:r>
                  <w:r>
                    <w:rPr>
                      <w:rFonts w:ascii="仿宋_GB2312" w:hAnsi="仿宋_GB2312" w:cs="仿宋_GB2312" w:eastAsia="仿宋_GB2312"/>
                      <w:sz w:val="21"/>
                      <w:vertAlign w:val="subscript"/>
                    </w:rPr>
                    <w:t>Id</w:t>
                  </w:r>
                  <w:r>
                    <w:rPr>
                      <w:rFonts w:ascii="仿宋_GB2312" w:hAnsi="仿宋_GB2312" w:cs="仿宋_GB2312" w:eastAsia="仿宋_GB2312"/>
                      <w:sz w:val="21"/>
                    </w:rPr>
                    <w:t>、</w:t>
                  </w:r>
                  <w:r>
                    <w:rPr>
                      <w:rFonts w:ascii="仿宋_GB2312" w:hAnsi="仿宋_GB2312" w:cs="仿宋_GB2312" w:eastAsia="仿宋_GB2312"/>
                      <w:sz w:val="21"/>
                    </w:rPr>
                    <w:t>K</w:t>
                  </w:r>
                  <w:r>
                    <w:rPr>
                      <w:rFonts w:ascii="仿宋_GB2312" w:hAnsi="仿宋_GB2312" w:cs="仿宋_GB2312" w:eastAsia="仿宋_GB2312"/>
                      <w:sz w:val="21"/>
                      <w:vertAlign w:val="subscript"/>
                    </w:rPr>
                    <w:t>Ia</w:t>
                  </w:r>
                  <w:r>
                    <w:rPr>
                      <w:rFonts w:ascii="仿宋_GB2312" w:hAnsi="仿宋_GB2312" w:cs="仿宋_GB2312" w:eastAsia="仿宋_GB2312"/>
                      <w:sz w:val="21"/>
                    </w:rPr>
                    <w:t>、分布，开展弹</w:t>
                  </w:r>
                  <w:r>
                    <w:rPr>
                      <w:rFonts w:ascii="仿宋_GB2312" w:hAnsi="仿宋_GB2312" w:cs="仿宋_GB2312" w:eastAsia="仿宋_GB2312"/>
                      <w:sz w:val="21"/>
                    </w:rPr>
                    <w:t>/</w:t>
                  </w:r>
                  <w:r>
                    <w:rPr>
                      <w:rFonts w:ascii="仿宋_GB2312" w:hAnsi="仿宋_GB2312" w:cs="仿宋_GB2312" w:eastAsia="仿宋_GB2312"/>
                      <w:sz w:val="21"/>
                    </w:rPr>
                    <w:t>塑性断裂分析，预测裂纹扩展速率，根据</w:t>
                  </w:r>
                  <w:r>
                    <w:rPr>
                      <w:rFonts w:ascii="仿宋_GB2312" w:hAnsi="仿宋_GB2312" w:cs="仿宋_GB2312" w:eastAsia="仿宋_GB2312"/>
                      <w:sz w:val="21"/>
                    </w:rPr>
                    <w:t>T</w:t>
                  </w:r>
                  <w:r>
                    <w:rPr>
                      <w:rFonts w:ascii="仿宋_GB2312" w:hAnsi="仿宋_GB2312" w:cs="仿宋_GB2312" w:eastAsia="仿宋_GB2312"/>
                      <w:sz w:val="21"/>
                      <w:vertAlign w:val="subscript"/>
                    </w:rPr>
                    <w:t>NDT</w:t>
                  </w:r>
                  <w:r>
                    <w:rPr>
                      <w:rFonts w:ascii="仿宋_GB2312" w:hAnsi="仿宋_GB2312" w:cs="仿宋_GB2312" w:eastAsia="仿宋_GB2312"/>
                      <w:sz w:val="21"/>
                    </w:rPr>
                    <w:t>、</w:t>
                  </w:r>
                  <w:r>
                    <w:rPr>
                      <w:rFonts w:ascii="仿宋_GB2312" w:hAnsi="仿宋_GB2312" w:cs="仿宋_GB2312" w:eastAsia="仿宋_GB2312"/>
                      <w:sz w:val="21"/>
                    </w:rPr>
                    <w:t>RT</w:t>
                  </w:r>
                  <w:r>
                    <w:rPr>
                      <w:rFonts w:ascii="仿宋_GB2312" w:hAnsi="仿宋_GB2312" w:cs="仿宋_GB2312" w:eastAsia="仿宋_GB2312"/>
                      <w:sz w:val="21"/>
                      <w:vertAlign w:val="subscript"/>
                    </w:rPr>
                    <w:t>NDT</w:t>
                  </w:r>
                  <w:r>
                    <w:rPr>
                      <w:rFonts w:ascii="仿宋_GB2312" w:hAnsi="仿宋_GB2312" w:cs="仿宋_GB2312" w:eastAsia="仿宋_GB2312"/>
                      <w:sz w:val="21"/>
                    </w:rPr>
                    <w:t>开展</w:t>
                  </w:r>
                  <w:r>
                    <w:rPr>
                      <w:rFonts w:ascii="仿宋_GB2312" w:hAnsi="仿宋_GB2312" w:cs="仿宋_GB2312" w:eastAsia="仿宋_GB2312"/>
                      <w:sz w:val="21"/>
                    </w:rPr>
                    <w:t>PTS</w:t>
                  </w:r>
                  <w:r>
                    <w:rPr>
                      <w:rFonts w:ascii="仿宋_GB2312" w:hAnsi="仿宋_GB2312" w:cs="仿宋_GB2312" w:eastAsia="仿宋_GB2312"/>
                      <w:sz w:val="21"/>
                    </w:rPr>
                    <w:t>分析。</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4.6</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具备复材分析功能，包括复材粘接、焊接等类似结构检测，自动识别脱粘、气孔等缺陷，计算缺陷面积等。</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4.7</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具备腐蚀分析功能，包括管道腐蚀等类似检测，自动识别腐蚀、减薄等缺陷，计算缺陷面积等。</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4.8</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提供二次开发包，提供</w:t>
                  </w:r>
                  <w:r>
                    <w:rPr>
                      <w:rFonts w:ascii="仿宋_GB2312" w:hAnsi="仿宋_GB2312" w:cs="仿宋_GB2312" w:eastAsia="仿宋_GB2312"/>
                      <w:sz w:val="21"/>
                    </w:rPr>
                    <w:t>C++</w:t>
                  </w:r>
                  <w:r>
                    <w:rPr>
                      <w:rFonts w:ascii="仿宋_GB2312" w:hAnsi="仿宋_GB2312" w:cs="仿宋_GB2312" w:eastAsia="仿宋_GB2312"/>
                      <w:sz w:val="21"/>
                    </w:rPr>
                    <w:t>、</w:t>
                  </w:r>
                  <w:r>
                    <w:rPr>
                      <w:rFonts w:ascii="仿宋_GB2312" w:hAnsi="仿宋_GB2312" w:cs="仿宋_GB2312" w:eastAsia="仿宋_GB2312"/>
                      <w:sz w:val="21"/>
                    </w:rPr>
                    <w:t>C#</w:t>
                  </w:r>
                  <w:r>
                    <w:rPr>
                      <w:rFonts w:ascii="仿宋_GB2312" w:hAnsi="仿宋_GB2312" w:cs="仿宋_GB2312" w:eastAsia="仿宋_GB2312"/>
                      <w:sz w:val="21"/>
                    </w:rPr>
                    <w:t>、</w:t>
                  </w:r>
                  <w:r>
                    <w:rPr>
                      <w:rFonts w:ascii="仿宋_GB2312" w:hAnsi="仿宋_GB2312" w:cs="仿宋_GB2312" w:eastAsia="仿宋_GB2312"/>
                      <w:sz w:val="21"/>
                    </w:rPr>
                    <w:t>matlab</w:t>
                  </w:r>
                  <w:r>
                    <w:rPr>
                      <w:rFonts w:ascii="仿宋_GB2312" w:hAnsi="仿宋_GB2312" w:cs="仿宋_GB2312" w:eastAsia="仿宋_GB2312"/>
                      <w:sz w:val="21"/>
                    </w:rPr>
                    <w:t>等语言的开发包及</w:t>
                  </w:r>
                  <w:r>
                    <w:rPr>
                      <w:rFonts w:ascii="仿宋_GB2312" w:hAnsi="仿宋_GB2312" w:cs="仿宋_GB2312" w:eastAsia="仿宋_GB2312"/>
                      <w:sz w:val="21"/>
                    </w:rPr>
                    <w:t>demo</w:t>
                  </w:r>
                  <w:r>
                    <w:rPr>
                      <w:rFonts w:ascii="仿宋_GB2312" w:hAnsi="仿宋_GB2312" w:cs="仿宋_GB2312" w:eastAsia="仿宋_GB2312"/>
                      <w:sz w:val="21"/>
                    </w:rPr>
                    <w:t>软件。</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其它</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5.1</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换能器同时符合</w:t>
                  </w:r>
                  <w:r>
                    <w:rPr>
                      <w:rFonts w:ascii="仿宋_GB2312" w:hAnsi="仿宋_GB2312" w:cs="仿宋_GB2312" w:eastAsia="仿宋_GB2312"/>
                      <w:sz w:val="21"/>
                    </w:rPr>
                    <w:t>JB/T 11731-2013</w:t>
                  </w:r>
                  <w:r>
                    <w:rPr>
                      <w:rFonts w:ascii="仿宋_GB2312" w:hAnsi="仿宋_GB2312" w:cs="仿宋_GB2312" w:eastAsia="仿宋_GB2312"/>
                      <w:sz w:val="21"/>
                    </w:rPr>
                    <w:t>、</w:t>
                  </w:r>
                  <w:r>
                    <w:rPr>
                      <w:rFonts w:ascii="仿宋_GB2312" w:hAnsi="仿宋_GB2312" w:cs="仿宋_GB2312" w:eastAsia="仿宋_GB2312"/>
                      <w:sz w:val="21"/>
                    </w:rPr>
                    <w:t>NB/T 47013.15-2021</w:t>
                  </w:r>
                  <w:r>
                    <w:rPr>
                      <w:rFonts w:ascii="仿宋_GB2312" w:hAnsi="仿宋_GB2312" w:cs="仿宋_GB2312" w:eastAsia="仿宋_GB2312"/>
                      <w:sz w:val="21"/>
                    </w:rPr>
                    <w:t>标准要求。</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5.2</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超声模块同时符合</w:t>
                  </w:r>
                  <w:r>
                    <w:rPr>
                      <w:rFonts w:ascii="仿宋_GB2312" w:hAnsi="仿宋_GB2312" w:cs="仿宋_GB2312" w:eastAsia="仿宋_GB2312"/>
                      <w:sz w:val="21"/>
                    </w:rPr>
                    <w:t>NB/T47013.15-2021</w:t>
                  </w:r>
                  <w:r>
                    <w:rPr>
                      <w:rFonts w:ascii="仿宋_GB2312" w:hAnsi="仿宋_GB2312" w:cs="仿宋_GB2312" w:eastAsia="仿宋_GB2312"/>
                      <w:sz w:val="21"/>
                    </w:rPr>
                    <w:t>、</w:t>
                  </w:r>
                  <w:r>
                    <w:rPr>
                      <w:rFonts w:ascii="仿宋_GB2312" w:hAnsi="仿宋_GB2312" w:cs="仿宋_GB2312" w:eastAsia="仿宋_GB2312"/>
                      <w:sz w:val="21"/>
                    </w:rPr>
                    <w:t>JB/T 11779-2014</w:t>
                  </w:r>
                  <w:r>
                    <w:rPr>
                      <w:rFonts w:ascii="仿宋_GB2312" w:hAnsi="仿宋_GB2312" w:cs="仿宋_GB2312" w:eastAsia="仿宋_GB2312"/>
                      <w:sz w:val="21"/>
                    </w:rPr>
                    <w:t>、</w:t>
                  </w:r>
                  <w:r>
                    <w:rPr>
                      <w:rFonts w:ascii="仿宋_GB2312" w:hAnsi="仿宋_GB2312" w:cs="仿宋_GB2312" w:eastAsia="仿宋_GB2312"/>
                      <w:sz w:val="21"/>
                    </w:rPr>
                    <w:t>GB/T 29302-2012</w:t>
                  </w:r>
                  <w:r>
                    <w:rPr>
                      <w:rFonts w:ascii="仿宋_GB2312" w:hAnsi="仿宋_GB2312" w:cs="仿宋_GB2312" w:eastAsia="仿宋_GB2312"/>
                      <w:sz w:val="21"/>
                    </w:rPr>
                    <w:t>标准要求。</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1、以上技术参数与性能指标不允许负偏离，任意一项负偏离按无效投标处理。</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带</w:t>
                  </w:r>
                  <w:r>
                    <w:rPr>
                      <w:rFonts w:ascii="仿宋_GB2312" w:hAnsi="仿宋_GB2312" w:cs="仿宋_GB2312" w:eastAsia="仿宋_GB2312"/>
                      <w:sz w:val="21"/>
                    </w:rPr>
                    <w:t>●</w:t>
                  </w:r>
                  <w:r>
                    <w:rPr>
                      <w:rFonts w:ascii="仿宋_GB2312" w:hAnsi="仿宋_GB2312" w:cs="仿宋_GB2312" w:eastAsia="仿宋_GB2312"/>
                      <w:sz w:val="21"/>
                      <w:b/>
                      <w:color w:val="000000"/>
                    </w:rPr>
                    <w:t>的技术参数与性能指标需要提供证明材料，</w:t>
                  </w:r>
                  <w:r>
                    <w:rPr>
                      <w:rFonts w:ascii="仿宋_GB2312" w:hAnsi="仿宋_GB2312" w:cs="仿宋_GB2312" w:eastAsia="仿宋_GB2312"/>
                      <w:sz w:val="21"/>
                      <w:b/>
                      <w:color w:val="000000"/>
                    </w:rPr>
                    <w:t>证明材料为产品彩页、官网（功能）截图、检测报告、生产厂家盖章的技术白皮书其中任意一个</w:t>
                  </w:r>
                  <w:r>
                    <w:rPr>
                      <w:rFonts w:ascii="仿宋_GB2312" w:hAnsi="仿宋_GB2312" w:cs="仿宋_GB2312" w:eastAsia="仿宋_GB2312"/>
                      <w:sz w:val="21"/>
                      <w:b/>
                      <w:color w:val="000000"/>
                    </w:rPr>
                    <w:t>(</w:t>
                  </w:r>
                  <w:r>
                    <w:rPr>
                      <w:rFonts w:ascii="仿宋_GB2312" w:hAnsi="仿宋_GB2312" w:cs="仿宋_GB2312" w:eastAsia="仿宋_GB2312"/>
                      <w:sz w:val="21"/>
                      <w:b/>
                    </w:rPr>
                    <w:t>技术参数与性能指标中对证明材料有要求的以要求的为准</w:t>
                  </w:r>
                  <w:r>
                    <w:rPr>
                      <w:rFonts w:ascii="仿宋_GB2312" w:hAnsi="仿宋_GB2312" w:cs="仿宋_GB2312" w:eastAsia="仿宋_GB2312"/>
                      <w:sz w:val="21"/>
                      <w:b/>
                    </w:rPr>
                    <w:t>)，</w:t>
                  </w:r>
                  <w:r>
                    <w:rPr>
                      <w:rFonts w:ascii="仿宋_GB2312" w:hAnsi="仿宋_GB2312" w:cs="仿宋_GB2312" w:eastAsia="仿宋_GB2312"/>
                      <w:sz w:val="21"/>
                      <w:b/>
                      <w:color w:val="000000"/>
                    </w:rPr>
                    <w:t>未提供或提供的证明材料低于文件规定的相应技术参数时视为负偏离。</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其他要求：</w:t>
            </w:r>
          </w:p>
          <w:p>
            <w:pPr>
              <w:pStyle w:val="null3"/>
            </w:pPr>
            <w:r>
              <w:rPr>
                <w:rFonts w:ascii="仿宋_GB2312" w:hAnsi="仿宋_GB2312" w:cs="仿宋_GB2312" w:eastAsia="仿宋_GB2312"/>
              </w:rPr>
              <w:t>1、培训要求：在用户所在地对用户进行为期32学时的培训。培训内容包括仪器的技术原理、操作、数据处理、基本维护、软件操作等。并提供完整的设备操作使用手册，电子版、纸质版各一套。</w:t>
            </w:r>
          </w:p>
          <w:p>
            <w:pPr>
              <w:pStyle w:val="null3"/>
            </w:pPr>
            <w:r>
              <w:rPr>
                <w:rFonts w:ascii="仿宋_GB2312" w:hAnsi="仿宋_GB2312" w:cs="仿宋_GB2312" w:eastAsia="仿宋_GB2312"/>
              </w:rPr>
              <w:t>2</w:t>
            </w:r>
            <w:r>
              <w:rPr>
                <w:rFonts w:ascii="仿宋_GB2312" w:hAnsi="仿宋_GB2312" w:cs="仿宋_GB2312" w:eastAsia="仿宋_GB2312"/>
              </w:rPr>
              <w:t>、场地基础承载要求：若现场原有地面承载力不满足安装条件，中标单位须提供地面加固、承重基座制作全套施工方案并完成施工，所有施工材料、人工、检测费用全部包含在投标总价内。</w:t>
            </w:r>
          </w:p>
          <w:p>
            <w:pPr>
              <w:pStyle w:val="null3"/>
            </w:pPr>
            <w:r>
              <w:rPr>
                <w:rFonts w:ascii="仿宋_GB2312" w:hAnsi="仿宋_GB2312" w:cs="仿宋_GB2312" w:eastAsia="仿宋_GB2312"/>
              </w:rPr>
              <w:t>3</w:t>
            </w:r>
            <w:r>
              <w:rPr>
                <w:rFonts w:ascii="仿宋_GB2312" w:hAnsi="仿宋_GB2312" w:cs="仿宋_GB2312" w:eastAsia="仿宋_GB2312"/>
              </w:rPr>
              <w:t>、整机就位、调平与减震安装要求：设备进场就位后，中标单位配备专业高精度水平仪、重型减震调平底座，完成整机多点位调平作业；针对重型仪器运行震动、外界地面传导震动问题，配套定制阻尼减震基座、防震垫，隔绝设备运行振动对检测精度的干扰，同时避免设备自重振动破坏建筑地面结构；所有调平、减震组件为原厂标配，不使用简易垫块替代。</w:t>
            </w:r>
          </w:p>
          <w:p>
            <w:pPr>
              <w:pStyle w:val="null3"/>
            </w:pPr>
            <w:r>
              <w:rPr>
                <w:rFonts w:ascii="仿宋_GB2312" w:hAnsi="仿宋_GB2312" w:cs="仿宋_GB2312" w:eastAsia="仿宋_GB2312"/>
              </w:rPr>
              <w:t>中标方须额外提供搬迁和安装调试一次，搬迁和安装调试过程中所产生的一切费用由中标方承担；搬迁和安装调试过程中仪器出现的一切故障和损坏由中标方负责维修修复。</w:t>
            </w:r>
          </w:p>
          <w:p>
            <w:pPr>
              <w:pStyle w:val="null3"/>
            </w:pPr>
            <w:r>
              <w:rPr>
                <w:rFonts w:ascii="仿宋_GB2312" w:hAnsi="仿宋_GB2312" w:cs="仿宋_GB2312" w:eastAsia="仿宋_GB2312"/>
                <w:sz w:val="21"/>
                <w:b/>
              </w:rPr>
              <w:t>注：以上</w:t>
            </w:r>
            <w:r>
              <w:rPr>
                <w:rFonts w:ascii="仿宋_GB2312" w:hAnsi="仿宋_GB2312" w:cs="仿宋_GB2312" w:eastAsia="仿宋_GB2312"/>
                <w:sz w:val="21"/>
                <w:b/>
              </w:rPr>
              <w:t>1-3项为实质性响应内容，不允许负偏离，任意一项负偏离按无效响应处理。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交货时间为本合同生效后90天内到货并安装调试交付使用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西安石油大学指定地点(交货前与采购方约定)</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其他，合同签订后，供应商开具全额银行保函，采购人收到银行保函正本后，一次性付清合同货款，待货物到达指定地点、安装调试验收合格后，采购人退还银行保函 ，达到付款条件起10个工作日内，支付合同总金额的100.0%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 （2）货物安装调试运行正常后，甲方（采购单位）按学校相关业务部门规定提交验收申请，学校根据采购单位技术验收结果，组织有关专家进行货物的最终验收。（3）设备交付时随仪器设备附带法定计量检定机构出具的检定或校准证书。</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质保期：自学校验收合格之日起3年。 售后服务效率要求：7*24 即时响应（包括电话响应）；电话响应无法解决时，24小时内到达现场。修复时间48小时内；如48小时内无法修复，应提供相应解决方案。售后服务标准要求： 技术服务： 1.设备安装、调试和验收 2.卖方应在合同生效后的1个月内向用户提供详细的安装要求并提供技术咨询。 3.仪器到达用户所在地，在接到用户通知后一周内进行安装调试，直至通过验收。 4.技术培训：在用户所在地对用户进行为期1周的培训。培训内容包括仪器的技术原理、操作、数据处理、基本维护、软件操作等。 5.保修期：卖方提供3年的免费保修,保修期自仪器验收签字之日起计算。保修期间维修及核心零件更换费用由厂家负担。 6.维修响应时间：卖方应在24小时内对用户的服务要求作出响应，维修服务包括电话指导和现场维修。 7.质保期内一次西安石油大学各校区范围内的免费移机（含搬迁、调试）。</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1、报价要求： （1）供应商应当根据采购文件的要求和范围，以人民币为货币，以元为报价单位。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进口业务等全部相关费用； 2、投标保证金注意事项： （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shanxizhuoming_zb@163.com（邮件命名：项目编号）。保函必须由具有开具投标保函资格的单位开具；若供应商违约，开具保函单位承担连带责任；（3）供应商投标保证金缴纳完成后请致电代理机构财务部门确认投标保证金到账情况，电话：88225322 。 3、中标供应商应在中标结果发布后2日内提供与电子化交易平台上传一致的纸质投标文件2份。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供应商为合法注册的法人、其他组织或自然人，具有独立承担民事责任的能力</w:t>
            </w:r>
          </w:p>
        </w:tc>
        <w:tc>
          <w:tcPr>
            <w:tcW w:type="dxa" w:w="3322"/>
          </w:tcPr>
          <w:p>
            <w:pPr>
              <w:pStyle w:val="null3"/>
            </w:pPr>
            <w:r>
              <w:rPr>
                <w:rFonts w:ascii="仿宋_GB2312" w:hAnsi="仿宋_GB2312" w:cs="仿宋_GB2312" w:eastAsia="仿宋_GB2312"/>
              </w:rPr>
              <w:t>提供具有统一社会信用代码证的营业执照（或事业单位法人证），分支机构投标的，提供有效的分支机构营业执照，以及有效的总公司营业执照及总公司针对本项目的授权书；供应商为自然人的提供身份证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必须上传注册会计师行业统一监管平台并申请赋码，成立时间至提交投标文件截止时间不足一年的可提供成立后任意时段的资产负债表），或其开标前12个月内银行出具的资信证明，或财政部门认可的政府采购专业担保机构出具的投标担保函。注：财务状况中供应商提供的财务审计报告必须上传注册会计师行业统一监管平台并申请赋码，否则作无效投标处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具有履行本合同所必需专业技术能力的说明及承诺</w:t>
            </w:r>
          </w:p>
        </w:tc>
        <w:tc>
          <w:tcPr>
            <w:tcW w:type="dxa" w:w="3322"/>
          </w:tcPr>
          <w:p>
            <w:pPr>
              <w:pStyle w:val="null3"/>
            </w:pPr>
            <w:r>
              <w:rPr>
                <w:rFonts w:ascii="仿宋_GB2312" w:hAnsi="仿宋_GB2312" w:cs="仿宋_GB2312" w:eastAsia="仿宋_GB2312"/>
              </w:rPr>
              <w:t>具有履行本合同所必需专业技术能力的说明及承诺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提供开标截止时间前12个月内任意一个月的依法缴纳税收的相关凭据（时间以税款所属时期为准），凭据应有税务机关或代收机关的公章或业务专用章。依法免税或无须缴纳税收的供应商应提供相应证明文件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提供开标截止时间前12个月内任意一个月的社会保障资金缴存单据或社保机构开具的社会保险参保缴费情况证明。依法不需要缴纳社会保障资金的供应商应提供相关文件证明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响应报价未超过采购预算或者最高限价 (合格) ，响应报价超过采购预算或者最高限价(不合格)</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交货时间是否满足采购文件最低要求</w:t>
            </w:r>
          </w:p>
        </w:tc>
        <w:tc>
          <w:tcPr>
            <w:tcW w:type="dxa" w:w="3322"/>
          </w:tcPr>
          <w:p>
            <w:pPr>
              <w:pStyle w:val="null3"/>
            </w:pPr>
            <w:r>
              <w:rPr>
                <w:rFonts w:ascii="仿宋_GB2312" w:hAnsi="仿宋_GB2312" w:cs="仿宋_GB2312" w:eastAsia="仿宋_GB2312"/>
              </w:rPr>
              <w:t>交货时间满足采购文件要求 (合格)，交货时间不满足采购文件要求(不合格)</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质量保修范围和保修期是否满足采购文件最低要求</w:t>
            </w:r>
          </w:p>
        </w:tc>
        <w:tc>
          <w:tcPr>
            <w:tcW w:type="dxa" w:w="3322"/>
          </w:tcPr>
          <w:p>
            <w:pPr>
              <w:pStyle w:val="null3"/>
            </w:pPr>
            <w:r>
              <w:rPr>
                <w:rFonts w:ascii="仿宋_GB2312" w:hAnsi="仿宋_GB2312" w:cs="仿宋_GB2312" w:eastAsia="仿宋_GB2312"/>
              </w:rPr>
              <w:t>质量保修范围和保修期满足采购文件要求(合格)， 质量保修范围和保修期不满足采购文件要求(不合格)</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支付约定满足采购文件要求 （合格 ），支付约定不满足采购文件要求 （不合格）</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响应文件的签署、盖章符合采购文件要求 （合格），响应文件的签署、盖章不符合采购文件要求 （不合格 ）</w:t>
            </w:r>
          </w:p>
        </w:tc>
        <w:tc>
          <w:tcPr>
            <w:tcW w:type="dxa" w:w="1661"/>
          </w:tcPr>
          <w:p>
            <w:pPr>
              <w:pStyle w:val="null3"/>
            </w:pPr>
            <w:r>
              <w:rPr>
                <w:rFonts w:ascii="仿宋_GB2312" w:hAnsi="仿宋_GB2312" w:cs="仿宋_GB2312" w:eastAsia="仿宋_GB2312"/>
              </w:rPr>
              <w:t>响应文件封面 分项报价表.docx 供应商资格要求.docx 商务应答表 标的清单 报价表 产品技术参数表.docx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响应文件有效期是否达到采购文件要求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投标有效期满足采购文件要求(合格)，响应文件无投标有效期或有效期不满足采购文件要求(不合格)</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标的数量是否满足采购要求</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响应文件封面 分项报价表.docx 标的清单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响应文件封面 分项报价表.docx 商务应答表 标的清单 报价表 产品技术参数表.docx 服务方案.docx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分项报价表.docx 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