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版本号：【KRDL】K1-260404920260513001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公路周边修筑堤坝、压缩或者拓宽河床许可技术咨询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【KRDL】K1-2604049</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公路周边修筑堤坝、压缩或者拓宽河床许可技术咨询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公路周边修筑堤坝、压缩或者拓宽河床许可技术咨询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协助审查2026年公路周边修筑堤坝、压缩或者拓宽河床施工项目的申请材料，出具书面审查意见，施工结束后组织验收工作，包括会议组织和专家抽调；提供其他技术方案审查咨询。树立我省公路周边修筑堤坝、压缩或者拓宽河床安全技术评价要点，编制形成评价指南。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供应商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6、企业资质：供应商须具备工程设计综合资质甲级，或具备公路行业（公路专业）甲级设计资质且同时具备工程设计水利行业乙级及以上资质或工程设计水利行业河道整治专业乙级及以上资质。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于英敏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协助审查2026年公路周边修筑堤坝、压缩或者拓宽河床施工项目的申请材料，出具书面审查意见，施工结束后组织验收工作，包括会议组织和专家抽调；提供其他技术方案审查咨询。树立我省公路周边修筑堤坝、压缩或者拓宽河床安全技术评价要点，编制形成评价指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450,800.00</w:t>
      </w:r>
    </w:p>
    <w:p>
      <w:pPr>
        <w:pStyle w:val="null3"/>
      </w:pPr>
      <w:r>
        <w:rPr>
          <w:rFonts w:ascii="仿宋_GB2312" w:hAnsi="仿宋_GB2312" w:cs="仿宋_GB2312" w:eastAsia="仿宋_GB2312"/>
        </w:rPr>
        <w:t>采购包最高限价（元）: 450,800.00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公路周边修筑堤坝压缩或者拓宽河床许可技术咨询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450,800.00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标的名称：公路周边修筑堤坝压缩或者拓宽河床许可技术咨询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本项目为陕西省公路局严格落实《中华人民共和国公路法》《公路安全保护条例》《路政管理规定》《公路项目安全性评价规范》（JTG B05—2015）等相关法律法规、行业规范及《陕西省公路养护统计管理办法》要求，规范全省公路周边修筑堤坝、压缩或者拓宽河床施工项目安全管控，强化公路安全保护，明确相关技术服务标准，保障公路设施（路基、路面、桥涵、隧道等）安全稳定运行，提升我省公路安全管理规范化、专业化水平，采购人现就公路周边修筑堤坝、压缩或拓宽河床相关技术服务进行采购，选定合格供应商提供全程技术服务支持。</w:t>
            </w:r>
          </w:p>
          <w:p>
            <w:pPr>
              <w:pStyle w:val="null3"/>
            </w:pPr>
            <w:r>
              <w:rPr>
                <w:rFonts w:ascii="仿宋_GB2312" w:hAnsi="仿宋_GB2312" w:cs="仿宋_GB2312" w:eastAsia="仿宋_GB2312"/>
              </w:rPr>
              <w:t>本项目服务范围覆盖全省行政区域内公路周边管控区域，具体包括：国道、省道、县道公路用地外缘起向外100米内，公路渡口和中型以上公路桥梁周围200米内，公路隧道上方和洞口外100米内的所有修筑堤坝、压缩或者拓宽河床施工项目（含抢险、防汛类应急施工项目）（审查施工项目件数约5件）。服务内容涵盖：协助审查公路周边修筑堤坝、压缩或者拓宽河床施工项目的申请材料，出具书面审查意见；施工结束后组织验收工作，包括会议组织和专家抽调；提供其他技术方案审查咨询。梳理我省公路周边修筑堤坝、压缩或者拓宽河床安全技术评价要点，编制形成评价指南。所有服务工作需严格贴合陕西省公路路网特点、地质气候条件及公路管理实际，确保合法合规、科学高效。</w:t>
            </w:r>
          </w:p>
          <w:p>
            <w:pPr>
              <w:pStyle w:val="null3"/>
            </w:pPr>
            <w:r>
              <w:rPr>
                <w:rFonts w:ascii="仿宋_GB2312" w:hAnsi="仿宋_GB2312" w:cs="仿宋_GB2312" w:eastAsia="仿宋_GB2312"/>
              </w:rPr>
              <w:t>二、核心服务内容</w:t>
            </w:r>
          </w:p>
          <w:p>
            <w:pPr>
              <w:pStyle w:val="null3"/>
            </w:pPr>
            <w:r>
              <w:rPr>
                <w:rFonts w:ascii="仿宋_GB2312" w:hAnsi="仿宋_GB2312" w:cs="仿宋_GB2312" w:eastAsia="仿宋_GB2312"/>
              </w:rPr>
              <w:t>供应商需严格按照本采购需求、项目概况要求及相关法律法规、行业规范，受采购人委托完成全部技术服务，全程接受采购人监督考核，对服务质量、成果真实性及合规性负责，确保服务贴合采购人工作实际、满足公路安全管控需求。</w:t>
            </w:r>
          </w:p>
          <w:p>
            <w:pPr>
              <w:pStyle w:val="null3"/>
            </w:pPr>
            <w:r>
              <w:rPr>
                <w:rFonts w:ascii="仿宋_GB2312" w:hAnsi="仿宋_GB2312" w:cs="仿宋_GB2312" w:eastAsia="仿宋_GB2312"/>
              </w:rPr>
              <w:t>（一）许可申请材料审查服务</w:t>
            </w:r>
          </w:p>
          <w:p>
            <w:pPr>
              <w:pStyle w:val="null3"/>
            </w:pPr>
            <w:r>
              <w:rPr>
                <w:rFonts w:ascii="仿宋_GB2312" w:hAnsi="仿宋_GB2312" w:cs="仿宋_GB2312" w:eastAsia="仿宋_GB2312"/>
              </w:rPr>
              <w:t>1.受采购人委托，供应商协助对全省公路周边修筑堤坝、压缩或拓宽河床许可的申请材料，开展全面细致的合规性、合法性、完整性、真实性审查，严格遵循《公路安全保护条例》《路政管理规定》等相关法规要求，确保材料符合采购人工作标准及行业规范，为审批决策提供可靠依据。</w:t>
            </w:r>
          </w:p>
          <w:p>
            <w:pPr>
              <w:pStyle w:val="null3"/>
            </w:pPr>
            <w:r>
              <w:rPr>
                <w:rFonts w:ascii="仿宋_GB2312" w:hAnsi="仿宋_GB2312" w:cs="仿宋_GB2312" w:eastAsia="仿宋_GB2312"/>
              </w:rPr>
              <w:t>2.审查重点至少包括：安全评估报告，施工方案，设计方案，应急方案及相关前置审批文件等，确保材料无遗漏、无虚假、无违规。</w:t>
            </w:r>
          </w:p>
          <w:p>
            <w:pPr>
              <w:pStyle w:val="null3"/>
            </w:pPr>
            <w:r>
              <w:rPr>
                <w:rFonts w:ascii="仿宋_GB2312" w:hAnsi="仿宋_GB2312" w:cs="仿宋_GB2312" w:eastAsia="仿宋_GB2312"/>
              </w:rPr>
              <w:t>3.审查过程规范化管理，对材料问题梳理形成清单并书面告知申请人补充完善，跟踪落实整改；审查完成后出具客观规范的书面审查意见，加盖公章、审查人员签字后报采购人备案，供应商对审查意见的合规性、真实性负责，接受采购人复核。</w:t>
            </w:r>
          </w:p>
          <w:p>
            <w:pPr>
              <w:pStyle w:val="null3"/>
            </w:pPr>
            <w:r>
              <w:rPr>
                <w:rFonts w:ascii="仿宋_GB2312" w:hAnsi="仿宋_GB2312" w:cs="仿宋_GB2312" w:eastAsia="仿宋_GB2312"/>
              </w:rPr>
              <w:t>（二）技术方案审查咨询服务</w:t>
            </w:r>
          </w:p>
          <w:p>
            <w:pPr>
              <w:pStyle w:val="null3"/>
            </w:pPr>
            <w:r>
              <w:rPr>
                <w:rFonts w:ascii="仿宋_GB2312" w:hAnsi="仿宋_GB2312" w:cs="仿宋_GB2312" w:eastAsia="仿宋_GB2312"/>
              </w:rPr>
              <w:t>1.组建专业服务团队，为采购人提供修筑堤坝、压缩或拓宽河床许可相关技术方案审查咨询服务（含施工优化、安全防护、应急处置、后期养护等），提供专业技术支撑。</w:t>
            </w:r>
          </w:p>
          <w:p>
            <w:pPr>
              <w:pStyle w:val="null3"/>
            </w:pPr>
            <w:r>
              <w:rPr>
                <w:rFonts w:ascii="仿宋_GB2312" w:hAnsi="仿宋_GB2312" w:cs="仿宋_GB2312" w:eastAsia="仿宋_GB2312"/>
              </w:rPr>
              <w:t>2.从科学、合理、安全、合规维度审查技术方案，结合《公路项目安全性评价规范》（JTG B05—2015）及我省公路实际，提出具体可操作的审查意见及优化建议，防范施工对公路设施的安全风险，确保方案可实施。</w:t>
            </w:r>
          </w:p>
          <w:p>
            <w:pPr>
              <w:pStyle w:val="null3"/>
            </w:pPr>
            <w:r>
              <w:rPr>
                <w:rFonts w:ascii="仿宋_GB2312" w:hAnsi="仿宋_GB2312" w:cs="仿宋_GB2312" w:eastAsia="仿宋_GB2312"/>
              </w:rPr>
              <w:t>3.建立快速响应机制，按采购人要求时限答复咨询需求；留存完整咨询记录，按照采购人时限要求提交咨询工作汇总报告，明确咨询情况及建议，接受采购人监督考核。</w:t>
            </w:r>
          </w:p>
          <w:p>
            <w:pPr>
              <w:pStyle w:val="null3"/>
            </w:pPr>
            <w:r>
              <w:rPr>
                <w:rFonts w:ascii="仿宋_GB2312" w:hAnsi="仿宋_GB2312" w:cs="仿宋_GB2312" w:eastAsia="仿宋_GB2312"/>
              </w:rPr>
              <w:t>（三）项目验收组织</w:t>
            </w:r>
          </w:p>
          <w:p>
            <w:pPr>
              <w:pStyle w:val="null3"/>
            </w:pPr>
            <w:r>
              <w:rPr>
                <w:rFonts w:ascii="仿宋_GB2312" w:hAnsi="仿宋_GB2312" w:cs="仿宋_GB2312" w:eastAsia="仿宋_GB2312"/>
              </w:rPr>
              <w:t>施工结束后组织验收工作，包括会议组织和专家抽调，最终编制完整验收报告（签字盖章齐全），报采购人备案，确保验收结果可追溯。</w:t>
            </w:r>
          </w:p>
          <w:p>
            <w:pPr>
              <w:pStyle w:val="null3"/>
            </w:pPr>
            <w:r>
              <w:rPr>
                <w:rFonts w:ascii="仿宋_GB2312" w:hAnsi="仿宋_GB2312" w:cs="仿宋_GB2312" w:eastAsia="仿宋_GB2312"/>
              </w:rPr>
              <w:t>（四）安全技术评价要点梳理及评价指南编制服务</w:t>
            </w:r>
          </w:p>
          <w:p>
            <w:pPr>
              <w:pStyle w:val="null3"/>
            </w:pPr>
            <w:r>
              <w:rPr>
                <w:rFonts w:ascii="仿宋_GB2312" w:hAnsi="仿宋_GB2312" w:cs="仿宋_GB2312" w:eastAsia="仿宋_GB2312"/>
              </w:rPr>
              <w:t>1.立足采购人工作需求，结合我省公路路网、地质气候及水利设施实际，遵循《公路安全保护条例》《公路项目安全性评价规范》（JTG B05—2015）等相关法规规范，梳理安全技术评价要点，明确评价核心内容、标准、方法及适用范围，为全省相关评价工作提供统一指引。</w:t>
            </w:r>
          </w:p>
          <w:p>
            <w:pPr>
              <w:pStyle w:val="null3"/>
            </w:pPr>
            <w:r>
              <w:rPr>
                <w:rFonts w:ascii="仿宋_GB2312" w:hAnsi="仿宋_GB2312" w:cs="仿宋_GB2312" w:eastAsia="仿宋_GB2312"/>
              </w:rPr>
              <w:t>2.按要求编制《陕西省公路周边修筑堤坝、压缩或者拓宽河床安全技术评价指南》，涵盖总则、评价范围、要点、方法、流程等核心模块，确保格式规范、内容详实、可操作，贴合我省实际。</w:t>
            </w:r>
          </w:p>
          <w:p>
            <w:pPr>
              <w:pStyle w:val="null3"/>
            </w:pPr>
            <w:r>
              <w:rPr>
                <w:rFonts w:ascii="仿宋_GB2312" w:hAnsi="仿宋_GB2312" w:cs="仿宋_GB2312" w:eastAsia="仿宋_GB2312"/>
              </w:rPr>
              <w:t>3.编制过程中广泛征求采购人及相关单位、专家意见，梳理吸纳后形成送审稿报采购人审核，修改完善后形成终审稿，经采购人确认定稿，确保满足实际工作需求。</w:t>
            </w:r>
          </w:p>
          <w:p>
            <w:pPr>
              <w:pStyle w:val="null3"/>
            </w:pPr>
            <w:r>
              <w:rPr>
                <w:rFonts w:ascii="仿宋_GB2312" w:hAnsi="仿宋_GB2312" w:cs="仿宋_GB2312" w:eastAsia="仿宋_GB2312"/>
              </w:rPr>
              <w:t>三、成果要求</w:t>
            </w:r>
          </w:p>
          <w:p>
            <w:pPr>
              <w:pStyle w:val="null3"/>
            </w:pPr>
            <w:r>
              <w:rPr>
                <w:rFonts w:ascii="仿宋_GB2312" w:hAnsi="仿宋_GB2312" w:cs="仿宋_GB2312" w:eastAsia="仿宋_GB2312"/>
              </w:rPr>
              <w:t>供应商完成全部服务后，需提交符合《中华人民共和国公路法》《公路安全保护条例》等相关法规及采购人要求的成果文件，确保格式规范、内容完整、数据真实、签字盖章齐全，具备可追溯性，均需提供纸质版（按采购人指定份数）及电子版（U盘/光盘，PDF+可编辑版本），具体要求如下：</w:t>
            </w:r>
          </w:p>
          <w:p>
            <w:pPr>
              <w:pStyle w:val="null3"/>
            </w:pPr>
            <w:r>
              <w:rPr>
                <w:rFonts w:ascii="仿宋_GB2312" w:hAnsi="仿宋_GB2312" w:cs="仿宋_GB2312" w:eastAsia="仿宋_GB2312"/>
              </w:rPr>
              <w:t>（一）申请材料审查相关成果</w:t>
            </w:r>
          </w:p>
          <w:p>
            <w:pPr>
              <w:pStyle w:val="null3"/>
            </w:pPr>
            <w:r>
              <w:rPr>
                <w:rFonts w:ascii="仿宋_GB2312" w:hAnsi="仿宋_GB2312" w:cs="仿宋_GB2312" w:eastAsia="仿宋_GB2312"/>
              </w:rPr>
              <w:t>1.单个项目审查清单：明确项目名称、位置、审查日期、人员、内容、结果、问题及整改情况，审查人员签字，按项目分类整理；</w:t>
            </w:r>
          </w:p>
          <w:p>
            <w:pPr>
              <w:pStyle w:val="null3"/>
            </w:pPr>
            <w:r>
              <w:rPr>
                <w:rFonts w:ascii="仿宋_GB2312" w:hAnsi="仿宋_GB2312" w:cs="仿宋_GB2312" w:eastAsia="仿宋_GB2312"/>
              </w:rPr>
              <w:t>2.单个项目审查意见：加盖供应商公章、审查人员签字，明确结论、依据及改进建议，按要求归档；</w:t>
            </w:r>
          </w:p>
          <w:p>
            <w:pPr>
              <w:pStyle w:val="null3"/>
            </w:pPr>
            <w:r>
              <w:rPr>
                <w:rFonts w:ascii="仿宋_GB2312" w:hAnsi="仿宋_GB2312" w:cs="仿宋_GB2312" w:eastAsia="仿宋_GB2312"/>
              </w:rPr>
              <w:t>3.审查汇总报告：按季度、年度编制，明确审查项目情况、共性问题及改进建议，加盖公章报采购人；</w:t>
            </w:r>
          </w:p>
          <w:p>
            <w:pPr>
              <w:pStyle w:val="null3"/>
            </w:pPr>
            <w:r>
              <w:rPr>
                <w:rFonts w:ascii="仿宋_GB2312" w:hAnsi="仿宋_GB2312" w:cs="仿宋_GB2312" w:eastAsia="仿宋_GB2312"/>
              </w:rPr>
              <w:t>4.审查佐证材料：含问题清单、补充告知书、整改记录等，按项目归档，接受采购人复核。</w:t>
            </w:r>
          </w:p>
          <w:p>
            <w:pPr>
              <w:pStyle w:val="null3"/>
            </w:pPr>
            <w:r>
              <w:rPr>
                <w:rFonts w:ascii="仿宋_GB2312" w:hAnsi="仿宋_GB2312" w:cs="仿宋_GB2312" w:eastAsia="仿宋_GB2312"/>
              </w:rPr>
              <w:t>（二）技术方案审查相关成果</w:t>
            </w:r>
          </w:p>
          <w:p>
            <w:pPr>
              <w:pStyle w:val="null3"/>
            </w:pPr>
            <w:r>
              <w:rPr>
                <w:rFonts w:ascii="仿宋_GB2312" w:hAnsi="仿宋_GB2312" w:cs="仿宋_GB2312" w:eastAsia="仿宋_GB2312"/>
              </w:rPr>
              <w:t>1.单个技术方案意见：加盖公章、咨询人员签字，明确结论、问题及优化建议，具备可操作性；</w:t>
            </w:r>
          </w:p>
          <w:p>
            <w:pPr>
              <w:pStyle w:val="null3"/>
            </w:pPr>
            <w:r>
              <w:rPr>
                <w:rFonts w:ascii="仿宋_GB2312" w:hAnsi="仿宋_GB2312" w:cs="仿宋_GB2312" w:eastAsia="仿宋_GB2312"/>
              </w:rPr>
              <w:t>2.咨询记录：详细记录咨询需求、过程、答复及反馈情况，确保可追溯；</w:t>
            </w:r>
          </w:p>
          <w:p>
            <w:pPr>
              <w:pStyle w:val="null3"/>
            </w:pPr>
            <w:r>
              <w:rPr>
                <w:rFonts w:ascii="仿宋_GB2312" w:hAnsi="仿宋_GB2312" w:cs="仿宋_GB2312" w:eastAsia="仿宋_GB2312"/>
              </w:rPr>
              <w:t>3.咨询汇总报告：按季度、年度编制，明确咨询情况及改进措施，加盖公章报采购人；</w:t>
            </w:r>
          </w:p>
          <w:p>
            <w:pPr>
              <w:pStyle w:val="null3"/>
            </w:pPr>
            <w:r>
              <w:rPr>
                <w:rFonts w:ascii="仿宋_GB2312" w:hAnsi="仿宋_GB2312" w:cs="仿宋_GB2312" w:eastAsia="仿宋_GB2312"/>
              </w:rPr>
              <w:t>4.技术支撑资料：含引用法规、标准、案例等，按咨询项目归档。</w:t>
            </w:r>
          </w:p>
          <w:p>
            <w:pPr>
              <w:pStyle w:val="null3"/>
            </w:pPr>
            <w:r>
              <w:rPr>
                <w:rFonts w:ascii="仿宋_GB2312" w:hAnsi="仿宋_GB2312" w:cs="仿宋_GB2312" w:eastAsia="仿宋_GB2312"/>
              </w:rPr>
              <w:t>（三）验收组织相关成果</w:t>
            </w:r>
          </w:p>
          <w:p>
            <w:pPr>
              <w:pStyle w:val="null3"/>
            </w:pPr>
            <w:r>
              <w:rPr>
                <w:rFonts w:ascii="仿宋_GB2312" w:hAnsi="仿宋_GB2312" w:cs="仿宋_GB2312" w:eastAsia="仿宋_GB2312"/>
              </w:rPr>
              <w:t>1.单个项目验收方案：明确验收依据、内容、流程、专家组组成等，加盖公章报采购人备案后实施；</w:t>
            </w:r>
          </w:p>
          <w:p>
            <w:pPr>
              <w:pStyle w:val="null3"/>
            </w:pPr>
            <w:r>
              <w:rPr>
                <w:rFonts w:ascii="仿宋_GB2312" w:hAnsi="仿宋_GB2312" w:cs="仿宋_GB2312" w:eastAsia="仿宋_GB2312"/>
              </w:rPr>
              <w:t>2.验收会议资料：含通知、签到表、记录、纪要（明确验收意见及整改要求），经参会各方签字确认；</w:t>
            </w:r>
          </w:p>
          <w:p>
            <w:pPr>
              <w:pStyle w:val="null3"/>
            </w:pPr>
            <w:r>
              <w:rPr>
                <w:rFonts w:ascii="仿宋_GB2312" w:hAnsi="仿宋_GB2312" w:cs="仿宋_GB2312" w:eastAsia="仿宋_GB2312"/>
              </w:rPr>
              <w:t>3.专家抽取资料：含抽取记录、专家证书及相关专业职业资格或资质证书、签到表、验收意见、廉洁承诺书等，按项目归档；</w:t>
            </w:r>
          </w:p>
          <w:p>
            <w:pPr>
              <w:pStyle w:val="null3"/>
            </w:pPr>
            <w:r>
              <w:rPr>
                <w:rFonts w:ascii="仿宋_GB2312" w:hAnsi="仿宋_GB2312" w:cs="仿宋_GB2312" w:eastAsia="仿宋_GB2312"/>
              </w:rPr>
              <w:t>4.单个项目验收报告：加盖供应商公章、专家组签字，明确结论及整改情况，作为验收合格核心依据；</w:t>
            </w:r>
          </w:p>
          <w:p>
            <w:pPr>
              <w:pStyle w:val="null3"/>
            </w:pPr>
            <w:r>
              <w:rPr>
                <w:rFonts w:ascii="仿宋_GB2312" w:hAnsi="仿宋_GB2312" w:cs="仿宋_GB2312" w:eastAsia="仿宋_GB2312"/>
              </w:rPr>
              <w:t>5.验收汇总报告：按季度、年度编制，明确验收情况及改进建议，加盖公章报采购人；</w:t>
            </w:r>
          </w:p>
          <w:p>
            <w:pPr>
              <w:pStyle w:val="null3"/>
            </w:pPr>
            <w:r>
              <w:rPr>
                <w:rFonts w:ascii="仿宋_GB2312" w:hAnsi="仿宋_GB2312" w:cs="仿宋_GB2312" w:eastAsia="仿宋_GB2312"/>
              </w:rPr>
              <w:t>6.验收佐证材料：含施工单位验收资料、现场照片、整改记录等，按项目归档，确保验收真实可追溯。</w:t>
            </w:r>
          </w:p>
          <w:p>
            <w:pPr>
              <w:pStyle w:val="null3"/>
            </w:pPr>
            <w:r>
              <w:rPr>
                <w:rFonts w:ascii="仿宋_GB2312" w:hAnsi="仿宋_GB2312" w:cs="仿宋_GB2312" w:eastAsia="仿宋_GB2312"/>
              </w:rPr>
              <w:t>（四）安全技术评价要点及评价指南相关成果</w:t>
            </w:r>
          </w:p>
          <w:p>
            <w:pPr>
              <w:pStyle w:val="null3"/>
            </w:pPr>
            <w:r>
              <w:rPr>
                <w:rFonts w:ascii="仿宋_GB2312" w:hAnsi="仿宋_GB2312" w:cs="仿宋_GB2312" w:eastAsia="仿宋_GB2312"/>
              </w:rPr>
              <w:t>1.评价要点：纸质版+电子版，加盖公章，明确评价内容、标准及适用范围，贴合我省实际；</w:t>
            </w:r>
          </w:p>
          <w:p>
            <w:pPr>
              <w:pStyle w:val="null3"/>
            </w:pPr>
            <w:r>
              <w:rPr>
                <w:rFonts w:ascii="仿宋_GB2312" w:hAnsi="仿宋_GB2312" w:cs="仿宋_GB2312" w:eastAsia="仿宋_GB2312"/>
              </w:rPr>
              <w:t>2.评价指南：含送审稿、终审稿（纸质+电子），格式规范、可操作，终审稿经采购人确认、加盖公章；</w:t>
            </w:r>
          </w:p>
          <w:p>
            <w:pPr>
              <w:pStyle w:val="null3"/>
            </w:pPr>
            <w:r>
              <w:rPr>
                <w:rFonts w:ascii="仿宋_GB2312" w:hAnsi="仿宋_GB2312" w:cs="仿宋_GB2312" w:eastAsia="仿宋_GB2312"/>
              </w:rPr>
              <w:t>3.编制说明：加盖公章，明确编制背景、依据、过程及修改情况；</w:t>
            </w:r>
          </w:p>
          <w:p>
            <w:pPr>
              <w:pStyle w:val="null3"/>
            </w:pPr>
            <w:r>
              <w:rPr>
                <w:rFonts w:ascii="仿宋_GB2312" w:hAnsi="仿宋_GB2312" w:cs="仿宋_GB2312" w:eastAsia="仿宋_GB2312"/>
              </w:rPr>
              <w:t>4.编制支撑资料：含法规、调研数据、征求意见记录等，归档成册，接受采购人审核。</w:t>
            </w:r>
          </w:p>
          <w:p>
            <w:pPr>
              <w:pStyle w:val="null3"/>
            </w:pPr>
            <w:r>
              <w:rPr>
                <w:rFonts w:ascii="仿宋_GB2312" w:hAnsi="仿宋_GB2312" w:cs="仿宋_GB2312" w:eastAsia="仿宋_GB2312"/>
              </w:rPr>
              <w:t>四、成果文件交付要求</w:t>
            </w:r>
          </w:p>
          <w:p>
            <w:pPr>
              <w:pStyle w:val="null3"/>
            </w:pPr>
            <w:r>
              <w:rPr>
                <w:rFonts w:ascii="仿宋_GB2312" w:hAnsi="仿宋_GB2312" w:cs="仿宋_GB2312" w:eastAsia="仿宋_GB2312"/>
              </w:rPr>
              <w:t>供应商需按采购人要求规范交付成果文件，确保及时合规，满足归档使用需求，接受采购人监督，具体要求如下：</w:t>
            </w:r>
          </w:p>
          <w:p>
            <w:pPr>
              <w:pStyle w:val="null3"/>
            </w:pPr>
            <w:r>
              <w:rPr>
                <w:rFonts w:ascii="仿宋_GB2312" w:hAnsi="仿宋_GB2312" w:cs="仿宋_GB2312" w:eastAsia="仿宋_GB2312"/>
              </w:rPr>
              <w:t>1.交付对象：陕西省公路局（具体对接部门、联系人及联系方式按采购人指定要求执行）；</w:t>
            </w:r>
          </w:p>
          <w:p>
            <w:pPr>
              <w:pStyle w:val="null3"/>
            </w:pPr>
            <w:r>
              <w:rPr>
                <w:rFonts w:ascii="仿宋_GB2312" w:hAnsi="仿宋_GB2312" w:cs="仿宋_GB2312" w:eastAsia="仿宋_GB2312"/>
              </w:rPr>
              <w:t>2.交付方式：纸质版按指定份数规范装订、标注清晰后现场递交；电子版密封递交（标注相关信息），同步提交归档清单，经采购人签字确认后留存。</w:t>
            </w:r>
          </w:p>
          <w:p>
            <w:pPr>
              <w:pStyle w:val="null3"/>
            </w:pPr>
            <w:r>
              <w:rPr>
                <w:rFonts w:ascii="仿宋_GB2312" w:hAnsi="仿宋_GB2312" w:cs="仿宋_GB2312" w:eastAsia="仿宋_GB2312"/>
              </w:rPr>
              <w:t>3.交付时限：按照采购人下达的书面交付时限为准。</w:t>
            </w:r>
          </w:p>
          <w:p>
            <w:pPr>
              <w:pStyle w:val="null3"/>
            </w:pPr>
            <w:r>
              <w:rPr>
                <w:rFonts w:ascii="仿宋_GB2312" w:hAnsi="仿宋_GB2312" w:cs="仿宋_GB2312" w:eastAsia="仿宋_GB2312"/>
              </w:rPr>
              <w:t>4.其他要求：</w:t>
            </w:r>
          </w:p>
          <w:p>
            <w:pPr>
              <w:pStyle w:val="null3"/>
            </w:pPr>
            <w:r>
              <w:rPr>
                <w:rFonts w:ascii="仿宋_GB2312" w:hAnsi="仿宋_GB2312" w:cs="仿宋_GB2312" w:eastAsia="仿宋_GB2312"/>
              </w:rPr>
              <w:t>成果按采购人档案管理要求整理，配合完成档案移交及数据录入；严格保密服务过程中接触的涉密信息，承担终身保密责任，若发生泄密行为，将追究其法律责任及经济赔偿责任。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符合完成本项目服务内容所需的人员配置要求，服务过程中不得擅自更换核心负责人员。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符合完成本项目服务内容所需的设施设备要求，服务过程中不得降低设备配置标准。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供应商完成全部工作后，提交书面验收申请、服务成果报告、履约总结报告及项目全部资料；采购人在3个工作日内组织供应商（必要时邀请专家）验收，对照以下标准核查： 一、服务内容达标：严格按照本采购合同、竞争性磋商文件、响应文件约定，完整完成全部核心服务内容（施工项目申请材料审查、验收组织、技术方案审查咨询、安全技术评价要点树立及评价指南编制），服务流程合规，无遗漏、无擅自缩减服务范围、无违规操作行为； 二、成果质量达标：所有服务成果文件（含审查意见、验收报告、咨询意见、评价要点、评价指南等）符合验收依据要求，格式规范、内容完整、数据真实、签字盖章齐全，具备可追溯性、可归档性、可使用性，贴合我省公路管理实际需求； 三、人员、设备配置达标：供应商投入本项目的服务团队人员、相关设备配置，严格符合招标文件及合同约定要求，无服务过程中擅自更换核心负责人员、降低设备配置标准的行为； 四、履约时限达标：严格按照合同约定的期限完成全部服务任务及成果文件交付，无逾期履约、无故拖延的行为，特殊情况延期履约已按规定提前书面申请并经采购人同意。 验收依据：本合同及附件、竞争性磋商文件、响应文件、澄清表（函）及相关行业规范。核查合格双方签署验收单；不合格供应商无偿整改（不超过2次），整改费用及损失由供应商承担，仍不合格的，采购人有权单方面解除合同，供应商退还全部已收款项、赔偿损失，并支付合同总金额10%违约金。供应商对成果文件真实性、合规性负全部责任，采购人全程监管验收流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合同签订且成交供应商提交合格履约保证金及符合要求的发票后，采购人在达到付款条件之日起15个工作日内，支付合同总金额的40%。 本项目为政府采购预算项目，若实际实施项目数量大于5个，结算金额超过合同总金额视为供应商可预见的风险，按合同总价款结算；若实际实施项目数量少于5个，则每少实施一个项目扣除合同总价款的10%。 2026年12月20日前，成交供应商完成阶段性服务并经采购人确认合格，且收到成交供应商开具的合规发票后，采购人在达到付款条件之日起15个工作日内，据实支付合同金额。双方按照合同约定据实结算。结算总金额不得超过本项目采购预算金额（截至服务期限，根据成交供应商最终完成服务的项目数量，进行最终资金清算，支付剩余的合同金额，后续描述的“达到付款条件起15日内，支付合同总金额的100%”为编标工具内容，无法进行修改，故在此进行说明，最终支付比例和时间以上述表述内容进行实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一、采购人双方必须遵守本合同并执行合同中的各项规定，保证本合同的正常履行。 二、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三、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四、供应商应保证其提交的服务成果不存在侵犯他人权益的情形，否则，因此引发的责任及纠纷由供应商承担，对采购人造成损失的，供应商应予以赔偿，此外，供应商还应向采购人承担合同总金额5%的违约金。 五、供应商应对其服务及服务成果的合法性、科学性、有效性、客观性、真实性负责，否则，相关责任及纠纷由供应商承担，对采购人造成损失的，供应商应予赔偿，此外，供应商还应向采购人承担合同总金额5%的违约金。 六、供应商在为采购人提供服务过程中所产生的所有成果，包括但不限于报告、方案、设计、软件等，其知识产权归采购人所有。未经采购人书面同意，供应商不得将本项目成果给与与本项目无关的第三方使用。供应商对于采购人提供的一切信息及资料负有严格的保密义务，不得以任何名义以此进行牟利活动，不得发表，也不得向任何第三方透露，否则应赔偿由此给采购人造成的损失。 七、供应商未按合同约定或采购人要求提供服务的，每出现一次应承担合同总价款【5】%的违约金，出现【2】次的，采购人有权单方解除本合同，给采购人造成损失的，供应商还应予以赔偿。 八、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九、在执行本合同中发生的或与本合同有关的争端，双方应通过友好协商解决，经协商无法解决的，应向采购人所在地有管辖权的人民法院提起诉讼。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报价应包含完成本项目所需的全部费用（包括但不限于劳务费、专家费、差旅费、会议费、国家按现行税收政策征收的一切税费、服务费、报告出具费、资料印刷费、设备使用费、培训费及合同明示或暗示的所有责任、义务和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供应商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供应商须具备工程设计综合资质甲级，或具备公路行业（公路专业）甲级设计资质且同时具备工程设计水利行业乙级及以上资质或工程设计水利行业河道整治专业乙级及以上资质。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并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是否发现和竞争性磋商文件规定的其他无效情形</w:t>
            </w:r>
          </w:p>
        </w:tc>
        <w:tc>
          <w:tcPr>
            <w:tcW w:type="dxa" w:w="3322"/>
          </w:tcPr>
          <w:p>
            <w:pPr>
              <w:pStyle w:val="null3"/>
            </w:pPr>
            <w:r>
              <w:rPr>
                <w:rFonts w:ascii="仿宋_GB2312" w:hAnsi="仿宋_GB2312" w:cs="仿宋_GB2312" w:eastAsia="仿宋_GB2312"/>
              </w:rPr>
              <w:t>未发现和竞争性磋商文件规定的其他无效情形。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对本项目服务内容及要求的理解</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根据本项目的服务要求的相关内容，对供应商所提供以下内容进行评审：①对本项目服务内容及要求的理解；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对本项目服务内容及要求的理解，此评审满分3分。每完全满足一项评审标准得1分，针对每条评审标准，如存在不合理的方面扣0.5分，针对每条评审标准，内容与本项目无关或未提供得0分；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根据本项目服务要求的相关内容，对供应商所提供以下内容进行评审：①申请材料审查服务方案；②施工验收服务方案； ③技术方案审查咨询及评价指南编制方案。 二.评审标准： ①完整性：内容全面详尽，对各方面有详细的描述和说明； ②合理性：项目切合实际，进度控制合理、思路清晰，科学合理； ③可实施性：切合本项目实际情况，分析清晰、可实施。 三.赋分标准（满分18分） ①申请材料审查服务方案，此评审满分6分，每完全满足一项评审标准得2分，针对每条评审标准，如存在不合理的方面扣0.5分，针对每条评审标准，内容与本项目无关或未提供得0分； ②施工验收服务方案，此评审满分6分，每完全满足一项评审标准得2分，针对每条评审标准，如存在不合理的方面扣0.5分，针对每条评审标准，内容与本项目无关或未提供得0分； ③技术方案审查咨询及评价指南编制方案，此评审满分6分，每完全满足一项评审标准得2分，针对每条评审标准，如存在不合理的方面扣0.5分，针对每条评审标准，内容与本项目无关或未提供得0分；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项目重点及难点分析</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根据本项目服务要求的相关内容，对供应商所提供以下内容进行评审：①就本项目重点及难点分析；②重点及难点应对措施。 二.评审标准： ①合理性：分析内容全面合理，对各方面有详细的描述和说明； ②可实施性：切合本项目实际情况，分析清晰、可实施； ③针对性：分析紧扣项目特点和采购需求，针对性强，整体性高。 三.赋分标准（满分12分） ①项目特点、重点及难点分析，此评审满分6分，每完全满足一项评审标准得2分，针对每条评审标准，如存在不合理的方面扣0.5分，针对每条评审标准，内容与本项目无关或未提供得0分； ②重点及难点应对措施，此评审满分6分，每完全满足一项评审标准得2分，针对每条评审标准，如存在不合理的方面扣0.5分，针对每条评审标准，内容与本项目无关或未提供得0分。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根据本项目服务要求的相关内容，对供应商所提供以下内容进行评审：①工作进度计划；②进度保证措施； 二.评审标准： ①合理性：分析内容全面合理，对各方面有详细的描述和说明； ②可实施性：切合本项目实际情况，分析清晰、可实施； ③针对性：分析紧扣项目特点和采购需求，针对性强，整体性高。 三.赋分标准（满分12分） ①工作进度计划，此评审满分6分，每完全满足一项评审标准得2分，针对每条评审标准，如存在不合理的方面扣0.5分，针对每条评审标准，内容与本项目无关或未提供得0分； ②进度保证措施，此评审满分6分，每完全满足一项评审标准得2分，针对每条评审标准，如存在不合理的方面扣0.5分，针对每条评审标准，内容与本项目无关或未提供得0分。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质量及安全保证措施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根据本项目服务要求的相关内容，对供应商所提供以下内容进行评审：①质量保证措施方案；②安全保证措施； 二.评审标准： ①合理性：分析内容全面合理，对各方面有详细的描述和说明； ②可实施性：切合本项目实际情况，分析清晰、可实施； ③针对性：分析紧扣项目特点和采购需求，针对性强，整体性高。 三.赋分标准：（满分9分） ①质量保证措施方案，此评审项满分4.5分，每完全满足一条评审标准得1.5分；针对每条评审标准，如存在不合理的方面，扣0.5分；针对每条评审标准，方案内容与本项目无关或未提供的，得0分。 ②安全保证措施，此评审项满分4.5分，每完全满足一条评审标准得1.5分；针对每条评审标准，如存在不合理的方面，扣0.5分；针对每条评审标准，方案内容与本项目无关或未提供的，得0分。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根据本项目的服务要求的相关内容，对供应商所提供以下内容进行评审：①服务保障体系；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①服务保障体系，此评审满分3分，每完全满足一项评审标准得1分，针对每条评审标准，如存在不合理的方面扣0.5分，针对每条评审标准，内容与本项目无关或未提供得0分；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拟派本项目项目负责人</w:t>
            </w:r>
          </w:p>
        </w:tc>
        <w:tc>
          <w:tcPr>
            <w:tcW w:type="dxa" w:w="2492"/>
          </w:tcPr>
          <w:p>
            <w:pPr>
              <w:pStyle w:val="null3"/>
            </w:pPr>
            <w:r>
              <w:rPr>
                <w:rFonts w:ascii="仿宋_GB2312" w:hAnsi="仿宋_GB2312" w:cs="仿宋_GB2312" w:eastAsia="仿宋_GB2312"/>
              </w:rPr>
              <w:t>一、项目负责人具有公路工程相关专业或水利工程相关专业高级及以上职称，得2分，其他情况不得分； 评审依据：提供拟派项目负责人的技术职称证书的复印件或扫描件。提供多个职称证明材料的，以最高职称为准。 二、每提供一项自2021年1月1日起至今担任过项目负责人的类似业绩的得1分，最多得3分。 评审依据：业绩证明资料（任命书或合同或其他证明材料，时间以签订时间为准，应体现项目负责人姓名）。项目负责人业绩与企业业绩可重复计分。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拟派本项目团队成员</w:t>
            </w:r>
          </w:p>
        </w:tc>
        <w:tc>
          <w:tcPr>
            <w:tcW w:type="dxa" w:w="2492"/>
          </w:tcPr>
          <w:p>
            <w:pPr>
              <w:pStyle w:val="null3"/>
            </w:pPr>
            <w:r>
              <w:rPr>
                <w:rFonts w:ascii="仿宋_GB2312" w:hAnsi="仿宋_GB2312" w:cs="仿宋_GB2312" w:eastAsia="仿宋_GB2312"/>
              </w:rPr>
              <w:t>除项目负责人外，拟派组成员每有1名人员具备公路工程相关专业或水利工程相关专业高级及以上（含高级）技术职称的得2分，本项目最多得10分； 评审依据：提供上述人员身份证、职称证书的复印件或扫描件。提供多个职称证明材料的，以最高职称为准。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根据本项目的服务要求的相关内容，对供应商所提供以下内容进行评审：①服务期限、质量、人员到位情况、后期服务等方面；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①服务期限、质量、人员到位情况、后期服务等方面，此评审满分3分，每完全满足一项评审标准得1分，针对每条评审标准，如存在不合理的方面扣0.5分，针对每条评审标准，内容与本项目无关或未提供得0分；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供应商提供2021年1月1日至今类似业绩证明材料，每提供1项有效业绩证明材料的计2分，满分为10分； 备注：业绩证明材料以合同的复印件或扫描件为准，时间以合同签订时间为准，业绩证明材料不符合要求的不得分。项目负责人业绩与企业业绩可重复计分。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