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00A21">
      <w:pPr>
        <w:pStyle w:val="8"/>
        <w:spacing w:line="360" w:lineRule="auto"/>
        <w:ind w:firstLine="482" w:firstLineChars="200"/>
        <w:rPr>
          <w:rFonts w:hint="default" w:ascii="仿宋" w:hAnsi="仿宋" w:eastAsia="仿宋" w:cs="仿宋_GB2312"/>
          <w:b/>
          <w:color w:val="000000"/>
          <w:sz w:val="24"/>
          <w:szCs w:val="24"/>
          <w:lang w:eastAsia="zh-CN"/>
        </w:rPr>
      </w:pPr>
      <w:bookmarkStart w:id="0" w:name="_GoBack"/>
      <w:bookmarkEnd w:id="0"/>
      <w:r>
        <w:rPr>
          <w:rFonts w:ascii="仿宋" w:hAnsi="仿宋" w:eastAsia="仿宋" w:cs="仿宋_GB2312"/>
          <w:b/>
          <w:color w:val="000000"/>
          <w:sz w:val="24"/>
          <w:szCs w:val="24"/>
        </w:rPr>
        <w:t>一、服务内容：</w:t>
      </w:r>
    </w:p>
    <w:p w14:paraId="1362E41C">
      <w:pPr>
        <w:pStyle w:val="8"/>
        <w:spacing w:line="360" w:lineRule="auto"/>
        <w:ind w:firstLine="480" w:firstLineChars="200"/>
        <w:rPr>
          <w:rFonts w:hint="default" w:ascii="仿宋" w:hAnsi="仿宋" w:eastAsia="仿宋" w:cs="仿宋_GB2312"/>
          <w:color w:val="000000"/>
          <w:sz w:val="24"/>
          <w:szCs w:val="24"/>
          <w:lang w:eastAsia="zh-CN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1.服务范围:14号学生宿舍楼工程结算审核</w:t>
      </w:r>
    </w:p>
    <w:p w14:paraId="1BEFB4B5">
      <w:pPr>
        <w:pStyle w:val="8"/>
        <w:spacing w:line="360" w:lineRule="auto"/>
        <w:ind w:firstLine="480" w:firstLineChars="200"/>
        <w:rPr>
          <w:rFonts w:hint="default" w:ascii="仿宋" w:hAnsi="仿宋" w:eastAsia="仿宋" w:cs="仿宋_GB2312"/>
          <w:color w:val="000000"/>
          <w:sz w:val="24"/>
          <w:szCs w:val="24"/>
          <w:lang w:eastAsia="zh-CN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2.详细内容:陕西中医药大学14号学生宿舍楼总建筑面积为22545.08平方米，地上共13层，建筑面积18951.84平方米;地下1层，建筑面积3593.24平方米;项目合同金额10893.03万元。</w:t>
      </w:r>
    </w:p>
    <w:p w14:paraId="0C3A039C">
      <w:pPr>
        <w:pStyle w:val="8"/>
        <w:spacing w:line="360" w:lineRule="auto"/>
        <w:ind w:firstLine="480" w:firstLineChars="200"/>
        <w:rPr>
          <w:rFonts w:hint="default" w:ascii="仿宋" w:hAnsi="仿宋" w:eastAsia="仿宋" w:cs="仿宋_GB2312"/>
          <w:color w:val="000000"/>
          <w:sz w:val="24"/>
          <w:szCs w:val="24"/>
          <w:lang w:eastAsia="zh-CN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3.最高限价:基本审核费=工程项目竣工结算报审价*0.8</w:t>
      </w:r>
      <w:r>
        <w:rPr>
          <w:rFonts w:ascii="仿宋" w:hAnsi="仿宋" w:eastAsia="仿宋" w:cs="仿宋_GB2312"/>
          <w:color w:val="000000"/>
          <w:sz w:val="24"/>
          <w:szCs w:val="24"/>
          <w:lang w:eastAsia="zh-CN"/>
        </w:rPr>
        <w:t>‰</w:t>
      </w:r>
      <w:r>
        <w:rPr>
          <w:rFonts w:ascii="仿宋" w:hAnsi="仿宋" w:eastAsia="仿宋" w:cs="仿宋_GB2312"/>
          <w:color w:val="000000"/>
          <w:sz w:val="24"/>
          <w:szCs w:val="24"/>
        </w:rPr>
        <w:t>(基本收费费率);成果效益费=结算审计核减额*1.5%(审减成果费率)</w:t>
      </w:r>
    </w:p>
    <w:p w14:paraId="10B53079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本项目报价报下浮率，即相比以上最高限价费率的下浮率。即基本审核费=工程项目竣工结算报审价*</w:t>
      </w:r>
      <w:r>
        <w:rPr>
          <w:rFonts w:ascii="仿宋" w:hAnsi="仿宋" w:eastAsia="仿宋" w:cs="仿宋_GB2312"/>
          <w:color w:val="000000"/>
          <w:sz w:val="24"/>
          <w:szCs w:val="24"/>
          <w:lang w:eastAsia="zh-CN"/>
        </w:rPr>
        <w:t>0.8‰</w:t>
      </w:r>
      <w:r>
        <w:rPr>
          <w:rFonts w:ascii="仿宋" w:hAnsi="仿宋" w:eastAsia="仿宋" w:cs="仿宋_GB2312"/>
          <w:color w:val="000000"/>
          <w:sz w:val="24"/>
          <w:szCs w:val="24"/>
        </w:rPr>
        <w:t>*（1-下浮率）</w:t>
      </w:r>
    </w:p>
    <w:p w14:paraId="0888E047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成果效益费=结算审计核减额*</w:t>
      </w:r>
      <w:r>
        <w:rPr>
          <w:rFonts w:ascii="仿宋" w:hAnsi="仿宋" w:eastAsia="仿宋" w:cs="仿宋_GB2312"/>
          <w:color w:val="000000"/>
          <w:sz w:val="24"/>
          <w:szCs w:val="24"/>
          <w:lang w:eastAsia="zh-CN"/>
        </w:rPr>
        <w:t>1.5</w:t>
      </w:r>
      <w:r>
        <w:rPr>
          <w:rFonts w:ascii="仿宋" w:hAnsi="仿宋" w:eastAsia="仿宋" w:cs="仿宋_GB2312"/>
          <w:color w:val="000000"/>
          <w:sz w:val="24"/>
          <w:szCs w:val="24"/>
        </w:rPr>
        <w:t>%*（1-下浮率）</w:t>
      </w:r>
    </w:p>
    <w:p w14:paraId="4124B02C">
      <w:pPr>
        <w:pStyle w:val="8"/>
        <w:spacing w:line="360" w:lineRule="auto"/>
        <w:ind w:firstLine="480" w:firstLineChars="200"/>
        <w:rPr>
          <w:rFonts w:hint="default" w:ascii="仿宋" w:hAnsi="仿宋" w:eastAsia="仿宋" w:cs="仿宋_GB2312"/>
          <w:color w:val="000000"/>
          <w:sz w:val="24"/>
          <w:szCs w:val="24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4.具体要求:(1)拟派本项目人员中审计工作团队人员结构合理，项目负责人必须为一级注册造价工程师，另外至少配备一级注册造价工程师四名(土建专业、安装专业各两名)，且有较强工作能力和沟通能力，能按时完成工作任务。(2)遵守国家有关法律、法规、规章规定，严格履行法定职责。(3)</w:t>
      </w:r>
      <w:r>
        <w:rPr>
          <w:rFonts w:ascii="仿宋" w:hAnsi="仿宋" w:eastAsia="仿宋" w:cs="仿宋_GB2312"/>
          <w:color w:val="000000"/>
          <w:sz w:val="24"/>
          <w:szCs w:val="24"/>
          <w:lang w:eastAsia="zh-CN"/>
        </w:rPr>
        <w:t>供应商响应</w:t>
      </w:r>
      <w:r>
        <w:rPr>
          <w:rFonts w:ascii="仿宋" w:hAnsi="仿宋" w:eastAsia="仿宋" w:cs="仿宋_GB2312"/>
          <w:color w:val="000000"/>
          <w:sz w:val="24"/>
          <w:szCs w:val="24"/>
        </w:rPr>
        <w:t>时须提供本项目组人员资格证书复印件并加盖公章。</w:t>
      </w:r>
    </w:p>
    <w:p w14:paraId="796A701F">
      <w:pPr>
        <w:pStyle w:val="8"/>
        <w:spacing w:line="360" w:lineRule="auto"/>
        <w:ind w:firstLine="480" w:firstLineChars="200"/>
        <w:rPr>
          <w:rFonts w:hint="default" w:ascii="仿宋" w:hAnsi="仿宋" w:eastAsia="仿宋" w:cs="仿宋_GB2312"/>
          <w:color w:val="000000"/>
          <w:sz w:val="24"/>
          <w:szCs w:val="24"/>
          <w:lang w:eastAsia="zh-CN"/>
        </w:rPr>
      </w:pPr>
      <w:r>
        <w:rPr>
          <w:rFonts w:ascii="仿宋" w:hAnsi="仿宋" w:eastAsia="仿宋" w:cs="仿宋_GB2312"/>
          <w:color w:val="000000"/>
          <w:sz w:val="24"/>
          <w:szCs w:val="24"/>
        </w:rPr>
        <w:t>(4)事务所必须与我校相关负责人无经济利益关系。</w:t>
      </w:r>
    </w:p>
    <w:p w14:paraId="163A0C13">
      <w:pPr>
        <w:pStyle w:val="8"/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eastAsia="zh-CN"/>
        </w:rPr>
      </w:pPr>
      <w:r>
        <w:rPr>
          <w:rFonts w:ascii="仿宋" w:hAnsi="仿宋" w:eastAsia="仿宋"/>
          <w:b/>
          <w:sz w:val="24"/>
          <w:szCs w:val="24"/>
          <w:lang w:eastAsia="zh-CN"/>
        </w:rPr>
        <w:t>二、商务要求</w:t>
      </w:r>
    </w:p>
    <w:p w14:paraId="6FF483A0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（1）时间:从接到完整的竣工结算资料之日起三十日内提交初审结果</w:t>
      </w:r>
    </w:p>
    <w:p w14:paraId="433DEC5C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（2）地点:甲方指定地点</w:t>
      </w:r>
    </w:p>
    <w:p w14:paraId="2C2B4ABE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（3）质保期:/</w:t>
      </w:r>
    </w:p>
    <w:p w14:paraId="3FDFF7B3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（4）履约保证金的缴纳与退还:/</w:t>
      </w:r>
    </w:p>
    <w:p w14:paraId="00EEDD2D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（5）付款方式:提交正式审计报告后的60天内，一次性支付全部审计费。</w:t>
      </w:r>
    </w:p>
    <w:p w14:paraId="7854F480">
      <w:pPr>
        <w:pStyle w:val="8"/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eastAsia="zh-CN"/>
        </w:rPr>
      </w:pPr>
      <w:r>
        <w:rPr>
          <w:rFonts w:ascii="仿宋" w:hAnsi="仿宋" w:eastAsia="仿宋"/>
          <w:b/>
          <w:sz w:val="24"/>
          <w:szCs w:val="24"/>
          <w:lang w:eastAsia="zh-CN"/>
        </w:rPr>
        <w:t>三、质量保证</w:t>
      </w:r>
    </w:p>
    <w:p w14:paraId="3DECE2A0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1.按甲方要求配备足够的项目组人员保证按期完成该项目的结算审核。</w:t>
      </w:r>
    </w:p>
    <w:p w14:paraId="1C9D3CA3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2.甲方有权通过复审、聘请独立第三方审查的方式对乙方工程审核过程中的质量进行监督。乙方审计结论出现误差的比例，送审造价在1000万元（含上限，下同）以下的误差不能超过3%；在1000-5000万元的误差不能超过2%；超过5000万元的误差不能超过1%及以上，如超过上述限额比例，甲方有权单方解除本协议，乙方除返还甲方已支付的审计费及违约金外，还需赔偿给甲方造成的一切经济损失，包括但不限于直接损失，间接损失，诉讼仲裁费及甲方聘请律师的费用和其他合理支付等有关费用。</w:t>
      </w:r>
    </w:p>
    <w:p w14:paraId="26F0C1BF">
      <w:pPr>
        <w:pStyle w:val="8"/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eastAsia="zh-CN"/>
        </w:rPr>
      </w:pPr>
      <w:r>
        <w:rPr>
          <w:rFonts w:ascii="仿宋" w:hAnsi="仿宋" w:eastAsia="仿宋"/>
          <w:b/>
          <w:sz w:val="24"/>
          <w:szCs w:val="24"/>
          <w:lang w:eastAsia="zh-CN"/>
        </w:rPr>
        <w:t>四、审计费支付</w:t>
      </w:r>
    </w:p>
    <w:p w14:paraId="2753F94E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1.结算审核咨询费由基本审核费与审核成果费两部分组成:基本费取费基数为送审结算价，审减费取费基数为实际审减造价。</w:t>
      </w:r>
    </w:p>
    <w:p w14:paraId="6B86AE55">
      <w:pPr>
        <w:pStyle w:val="8"/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2.计费费率:基本收费费率‰，审减成果费率%。</w:t>
      </w:r>
    </w:p>
    <w:p w14:paraId="1F7C64BE">
      <w:pPr>
        <w:pStyle w:val="8"/>
        <w:spacing w:line="360" w:lineRule="auto"/>
        <w:ind w:firstLine="480" w:firstLineChars="200"/>
        <w:rPr>
          <w:rFonts w:ascii="仿宋" w:hAnsi="仿宋" w:eastAsia="仿宋"/>
          <w:sz w:val="24"/>
          <w:szCs w:val="24"/>
          <w:lang w:eastAsia="zh-CN"/>
        </w:rPr>
      </w:pPr>
      <w:r>
        <w:rPr>
          <w:rFonts w:ascii="仿宋" w:hAnsi="仿宋" w:eastAsia="仿宋"/>
          <w:sz w:val="24"/>
          <w:szCs w:val="24"/>
          <w:lang w:eastAsia="zh-CN"/>
        </w:rPr>
        <w:t>3.合同总价=Σ计费基数×计费费率。</w:t>
      </w:r>
    </w:p>
    <w:sectPr>
      <w:pgSz w:w="11900" w:h="16840"/>
      <w:pgMar w:top="1440" w:right="1077" w:bottom="1440" w:left="1077" w:header="0" w:footer="210" w:gutter="0"/>
      <w:cols w:space="425" w:num="1"/>
      <w:docGrid w:linePitch="299" w:charSpace="5210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232"/>
  <w:drawingGridVerticalSpacing w:val="299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77A"/>
    <w:rsid w:val="0014677A"/>
    <w:rsid w:val="003739FE"/>
    <w:rsid w:val="00450A10"/>
    <w:rsid w:val="004A0415"/>
    <w:rsid w:val="00500152"/>
    <w:rsid w:val="009977D6"/>
    <w:rsid w:val="009A0A27"/>
    <w:rsid w:val="58E7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  <w:lang w:eastAsia="zh-CN"/>
    </w:rPr>
  </w:style>
  <w:style w:type="character" w:customStyle="1" w:styleId="7">
    <w:name w:val="页脚 Char"/>
    <w:basedOn w:val="5"/>
    <w:link w:val="2"/>
    <w:uiPriority w:val="99"/>
    <w:rPr>
      <w:sz w:val="18"/>
      <w:szCs w:val="18"/>
      <w:lang w:eastAsia="zh-CN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856</Words>
  <Characters>945</Characters>
  <Lines>6</Lines>
  <Paragraphs>1</Paragraphs>
  <TotalTime>1</TotalTime>
  <ScaleCrop>false</ScaleCrop>
  <LinksUpToDate>false</LinksUpToDate>
  <CharactersWithSpaces>945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2026-07-08T02:13:00Z</dcterms:created>
  <dc:creator> </dc:creator>
  <cp:lastModifiedBy>马雪松</cp:lastModifiedBy>
  <dcterms:modified xsi:type="dcterms:W3CDTF">2026-07-09T01:13:54Z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15EDA50944BB41C6988AB2AAF1B5668D_13</vt:lpwstr>
  </property>
</Properties>
</file>