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版本号：ZHPM-ZC-2601120260615002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成分科病毒灭活袋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ZHPM-ZC-26011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成分科病毒灭活袋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ZHPM-ZC-26011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成分科病毒灭活袋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中心血站为保证临床血液供应，开展无偿献血工作，需要采购用于制备成分血的耗材，包括不同型号规格的耗材，如一次性使用病毒灭活输血过滤器材。通过上述加工制备，血浆中的包膜病毒得以有效灭活，显著提升了血液制品的安全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2、联合体：本项目不接受联合体投标</w:t>
      </w:r>
    </w:p>
    <w:p>
      <w:pPr>
        <w:pStyle w:val="null3"/>
      </w:pPr>
      <w:r>
        <w:rPr>
          <w:rFonts w:ascii="仿宋_GB2312" w:hAnsi="仿宋_GB2312" w:cs="仿宋_GB2312" w:eastAsia="仿宋_GB2312"/>
        </w:rPr>
        <w:t>3、承诺书：供应商提供质量保证承诺书</w:t>
      </w:r>
    </w:p>
    <w:p>
      <w:pPr>
        <w:pStyle w:val="null3"/>
      </w:pPr>
      <w:r>
        <w:rPr>
          <w:rFonts w:ascii="仿宋_GB2312" w:hAnsi="仿宋_GB2312" w:cs="仿宋_GB2312" w:eastAsia="仿宋_GB2312"/>
        </w:rPr>
        <w:t>4、承诺书：供应商提供关联关系与廉洁承诺书</w:t>
      </w:r>
    </w:p>
    <w:p>
      <w:pPr>
        <w:pStyle w:val="null3"/>
      </w:pPr>
      <w:r>
        <w:rPr>
          <w:rFonts w:ascii="仿宋_GB2312" w:hAnsi="仿宋_GB2312" w:cs="仿宋_GB2312" w:eastAsia="仿宋_GB2312"/>
        </w:rPr>
        <w:t>5、供应商资质：所投产品属于医疗器械的，生产厂商须提供《医疗器械生产许可证》或《医疗器械生产备案凭证》，代理商须提供《医疗器械经营许可证》或《医疗器械经营备案凭证》，纳入医疗器械注册管理的，提供医疗器械注册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委托书：非法定代表人参加投标的，须提供法定代表人委托授权书、授权代表身份证、授权代表提供在投标单位缴纳的社保记录（近3个月内任意一个月）；法定代表人参加投标时,只需提供法定代表人身份证</w:t>
      </w:r>
    </w:p>
    <w:p>
      <w:pPr>
        <w:pStyle w:val="null3"/>
      </w:pPr>
      <w:r>
        <w:rPr>
          <w:rFonts w:ascii="仿宋_GB2312" w:hAnsi="仿宋_GB2312" w:cs="仿宋_GB2312" w:eastAsia="仿宋_GB2312"/>
        </w:rPr>
        <w:t>2、联合体：本项目不接受联合体投标</w:t>
      </w:r>
    </w:p>
    <w:p>
      <w:pPr>
        <w:pStyle w:val="null3"/>
      </w:pPr>
      <w:r>
        <w:rPr>
          <w:rFonts w:ascii="仿宋_GB2312" w:hAnsi="仿宋_GB2312" w:cs="仿宋_GB2312" w:eastAsia="仿宋_GB2312"/>
        </w:rPr>
        <w:t>3、承诺书：供应商提供质量保证承诺书</w:t>
      </w:r>
    </w:p>
    <w:p>
      <w:pPr>
        <w:pStyle w:val="null3"/>
      </w:pPr>
      <w:r>
        <w:rPr>
          <w:rFonts w:ascii="仿宋_GB2312" w:hAnsi="仿宋_GB2312" w:cs="仿宋_GB2312" w:eastAsia="仿宋_GB2312"/>
        </w:rPr>
        <w:t>4、承诺书：供应商提供关联关系与廉洁承诺书</w:t>
      </w:r>
    </w:p>
    <w:p>
      <w:pPr>
        <w:pStyle w:val="null3"/>
      </w:pPr>
      <w:r>
        <w:rPr>
          <w:rFonts w:ascii="仿宋_GB2312" w:hAnsi="仿宋_GB2312" w:cs="仿宋_GB2312" w:eastAsia="仿宋_GB2312"/>
        </w:rPr>
        <w:t>5、供应商资质：所投产品属于医疗器械的，生产厂商须提供《医疗器械生产许可证》或《医疗器械生产备案凭证》，代理商须提供《医疗器械经营许可证》或《医疗器械经营备案凭证》，纳入医疗器械注册管理的，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西安市高新区丈八街办团结南路35号高新新天地2号楼2402室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郭兢冉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029-87303582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采购包1：5,824,000.00元</w:t>
            </w:r>
          </w:p>
          <w:p>
            <w:pPr>
              <w:pStyle w:val="null3"/>
            </w:pPr>
            <w:r>
              <w:rPr>
                <w:rFonts w:ascii="仿宋_GB2312" w:hAnsi="仿宋_GB2312" w:cs="仿宋_GB2312" w:eastAsia="仿宋_GB2312"/>
              </w:rPr>
              <w:t>采购包2：2,418,560.00元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代理服务费收费标准：参照《国家计委关于印发&lt;招标代理服务收费管理暂行办法&gt;的通知》（计价格【2002】1980号）规定标准收取。银行户名：中昊项目管理有限公司 开户银行：中国民生银行股份有限公司西安高新科技支行 账号：160927203 备注：项目编号+采购包号+代理服务费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联系电话：029-87303582</w:t>
      </w:r>
    </w:p>
    <w:p>
      <w:pPr>
        <w:pStyle w:val="null3"/>
      </w:pPr>
      <w:r>
        <w:rPr>
          <w:rFonts w:ascii="仿宋_GB2312" w:hAnsi="仿宋_GB2312" w:cs="仿宋_GB2312" w:eastAsia="仿宋_GB2312"/>
        </w:rPr>
        <w:t>地址：西安市高新区丈八街办团结南路35号高新新天地2号楼2402室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血站为保证临床血液供应，开展无偿献血工作，需要采购用于制备成分血的耗材，包括不同型号规格的耗材，如一次性使用病毒灭活输血过滤器材。通过上述加工制备，血浆中的包膜病毒得以有效灭活，显著提升了血液制品的安全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5,824,000.00</w:t>
      </w:r>
    </w:p>
    <w:p>
      <w:pPr>
        <w:pStyle w:val="null3"/>
      </w:pPr>
      <w:r>
        <w:rPr>
          <w:rFonts w:ascii="仿宋_GB2312" w:hAnsi="仿宋_GB2312" w:cs="仿宋_GB2312" w:eastAsia="仿宋_GB2312"/>
        </w:rPr>
        <w:t>采购包最高限价（元）: 5,824,000.00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一次性使用病毒灭活输血过滤器材100ml（A1） 一次性使用病毒灭活输血过滤器材200ml（A2）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5,824,000.00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2,418,560.00</w:t>
      </w:r>
    </w:p>
    <w:p>
      <w:pPr>
        <w:pStyle w:val="null3"/>
      </w:pPr>
      <w:r>
        <w:rPr>
          <w:rFonts w:ascii="仿宋_GB2312" w:hAnsi="仿宋_GB2312" w:cs="仿宋_GB2312" w:eastAsia="仿宋_GB2312"/>
        </w:rPr>
        <w:t>采购包最高限价（元）: 2,418,560.00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一次性使用病毒灭活输血过滤器材100ml（B1） 一次性使用病毒灭活输血过滤器材200ml（B2）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2,418,560.00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标的名称：一次性使用病毒灭活输血过滤器材100ml（A1） 一次性使用病毒灭活输血过滤器材200ml（A2）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一、采购内容</w:t>
            </w:r>
          </w:p>
          <w:tbl>
            <w:tblPr>
              <w:tblBorders>
                <w:top w:val="none" w:color="000000" w:sz="4"/>
                <w:left w:val="none" w:color="000000" w:sz="4"/>
                <w:bottom w:val="none" w:color="000000" w:sz="4"/>
                <w:right w:val="none" w:color="000000" w:sz="4"/>
                <w:insideH w:val="none"/>
                <w:insideV w:val="none"/>
              </w:tblBorders>
            </w:tblPr>
            <w:tblGrid>
              <w:gridCol w:w="276"/>
              <w:gridCol w:w="1026"/>
              <w:gridCol w:w="421"/>
              <w:gridCol w:w="315"/>
              <w:gridCol w:w="500"/>
            </w:tblGrid>
            <w:tr>
              <w:tc>
                <w:tcPr>
                  <w:tcW w:type="dxa" w:w="2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4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0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预算金额（元）</w:t>
                  </w:r>
                </w:p>
              </w:tc>
            </w:tr>
            <w:tr>
              <w:tc>
                <w:tcPr>
                  <w:tcW w:type="dxa" w:w="2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一次性使用病毒灭活输血过滤器材</w:t>
                  </w:r>
                  <w:r>
                    <w:rPr>
                      <w:rFonts w:ascii="仿宋_GB2312" w:hAnsi="仿宋_GB2312" w:cs="仿宋_GB2312" w:eastAsia="仿宋_GB2312"/>
                      <w:sz w:val="21"/>
                    </w:rPr>
                    <w:t>100ml（A1）</w:t>
                  </w:r>
                </w:p>
              </w:tc>
              <w:tc>
                <w:tcPr>
                  <w:tcW w:type="dxa" w:w="4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40000</w:t>
                  </w:r>
                </w:p>
              </w:tc>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1540000</w:t>
                  </w:r>
                </w:p>
              </w:tc>
            </w:tr>
            <w:tr>
              <w:tc>
                <w:tcPr>
                  <w:tcW w:type="dxa" w:w="2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一次性使用病毒灭活输血过滤器材</w:t>
                  </w:r>
                  <w:r>
                    <w:rPr>
                      <w:rFonts w:ascii="仿宋_GB2312" w:hAnsi="仿宋_GB2312" w:cs="仿宋_GB2312" w:eastAsia="仿宋_GB2312"/>
                      <w:sz w:val="21"/>
                    </w:rPr>
                    <w:t>200ml（A2）</w:t>
                  </w:r>
                </w:p>
              </w:tc>
              <w:tc>
                <w:tcPr>
                  <w:tcW w:type="dxa" w:w="4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102000</w:t>
                  </w:r>
                </w:p>
              </w:tc>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4284000</w:t>
                  </w:r>
                </w:p>
              </w:tc>
            </w:tr>
            <w:tr>
              <w:tc>
                <w:tcPr>
                  <w:tcW w:type="dxa" w:w="203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5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5824000</w:t>
                  </w:r>
                </w:p>
              </w:tc>
            </w:tr>
          </w:tbl>
          <w:p>
            <w:pPr>
              <w:pStyle w:val="null3"/>
              <w:ind w:firstLine="526"/>
              <w:jc w:val="both"/>
            </w:pPr>
            <w:r>
              <w:rPr>
                <w:rFonts w:ascii="仿宋_GB2312" w:hAnsi="仿宋_GB2312" w:cs="仿宋_GB2312" w:eastAsia="仿宋_GB2312"/>
                <w:sz w:val="21"/>
                <w:b/>
              </w:rPr>
              <w:t>二、技术要求</w:t>
            </w:r>
          </w:p>
          <w:p>
            <w:pPr>
              <w:pStyle w:val="null3"/>
              <w:ind w:firstLine="420"/>
              <w:jc w:val="left"/>
            </w:pPr>
            <w:r>
              <w:rPr>
                <w:rFonts w:ascii="仿宋_GB2312" w:hAnsi="仿宋_GB2312" w:cs="仿宋_GB2312" w:eastAsia="仿宋_GB2312"/>
                <w:sz w:val="21"/>
              </w:rPr>
              <w:t>（一）规格</w:t>
            </w:r>
          </w:p>
          <w:p>
            <w:pPr>
              <w:pStyle w:val="null3"/>
              <w:ind w:firstLine="420"/>
              <w:jc w:val="left"/>
            </w:pPr>
            <w:r>
              <w:rPr>
                <w:rFonts w:ascii="仿宋_GB2312" w:hAnsi="仿宋_GB2312" w:cs="仿宋_GB2312" w:eastAsia="仿宋_GB2312"/>
                <w:sz w:val="21"/>
              </w:rPr>
              <w:t>1、A1（适用于200mL全血制备的血浆病毒灭活）；</w:t>
            </w:r>
          </w:p>
          <w:p>
            <w:pPr>
              <w:pStyle w:val="null3"/>
              <w:ind w:firstLine="420"/>
              <w:jc w:val="left"/>
            </w:pPr>
            <w:r>
              <w:rPr>
                <w:rFonts w:ascii="仿宋_GB2312" w:hAnsi="仿宋_GB2312" w:cs="仿宋_GB2312" w:eastAsia="仿宋_GB2312"/>
                <w:sz w:val="21"/>
              </w:rPr>
              <w:t>2、A2（适用于400mL全血制备的血浆病毒灭活）。</w:t>
            </w:r>
          </w:p>
          <w:p>
            <w:pPr>
              <w:pStyle w:val="null3"/>
              <w:ind w:firstLine="420"/>
              <w:jc w:val="left"/>
            </w:pPr>
            <w:r>
              <w:rPr>
                <w:rFonts w:ascii="仿宋_GB2312" w:hAnsi="仿宋_GB2312" w:cs="仿宋_GB2312" w:eastAsia="仿宋_GB2312"/>
                <w:sz w:val="21"/>
              </w:rPr>
              <w:t>（二）主要技术参数</w:t>
            </w:r>
          </w:p>
          <w:p>
            <w:pPr>
              <w:pStyle w:val="null3"/>
              <w:ind w:firstLine="420"/>
              <w:jc w:val="left"/>
            </w:pPr>
            <w:r>
              <w:rPr>
                <w:rFonts w:ascii="仿宋_GB2312" w:hAnsi="仿宋_GB2312" w:cs="仿宋_GB2312" w:eastAsia="仿宋_GB2312"/>
                <w:sz w:val="21"/>
              </w:rPr>
              <w:t>▲1、产品达到国家要求的指示病毒灭活效果:无菌、无热源(提供证明材料)；</w:t>
            </w:r>
          </w:p>
          <w:p>
            <w:pPr>
              <w:pStyle w:val="null3"/>
              <w:ind w:firstLine="420"/>
              <w:jc w:val="left"/>
            </w:pPr>
            <w:r>
              <w:rPr>
                <w:rFonts w:ascii="仿宋_GB2312" w:hAnsi="仿宋_GB2312" w:cs="仿宋_GB2312" w:eastAsia="仿宋_GB2312"/>
                <w:sz w:val="21"/>
              </w:rPr>
              <w:t>2、血浆主要凝血因子的平均保有率≥80%；总蛋白的回收率≥85%；</w:t>
            </w:r>
          </w:p>
          <w:p>
            <w:pPr>
              <w:pStyle w:val="null3"/>
              <w:ind w:firstLine="420"/>
              <w:jc w:val="left"/>
            </w:pPr>
            <w:r>
              <w:rPr>
                <w:rFonts w:ascii="仿宋_GB2312" w:hAnsi="仿宋_GB2312" w:cs="仿宋_GB2312" w:eastAsia="仿宋_GB2312"/>
                <w:sz w:val="21"/>
              </w:rPr>
              <w:t>3、血浆蛋白的免疫原性无变异；</w:t>
            </w:r>
          </w:p>
          <w:p>
            <w:pPr>
              <w:pStyle w:val="null3"/>
              <w:ind w:firstLine="420"/>
              <w:jc w:val="left"/>
            </w:pPr>
            <w:r>
              <w:rPr>
                <w:rFonts w:ascii="仿宋_GB2312" w:hAnsi="仿宋_GB2312" w:cs="仿宋_GB2312" w:eastAsia="仿宋_GB2312"/>
                <w:sz w:val="21"/>
              </w:rPr>
              <w:t>4、剩余白细胞数应≦5.0×105个/单位；</w:t>
            </w:r>
          </w:p>
          <w:p>
            <w:pPr>
              <w:pStyle w:val="null3"/>
              <w:ind w:firstLine="420"/>
              <w:jc w:val="left"/>
            </w:pPr>
            <w:r>
              <w:rPr>
                <w:rFonts w:ascii="仿宋_GB2312" w:hAnsi="仿宋_GB2312" w:cs="仿宋_GB2312" w:eastAsia="仿宋_GB2312"/>
                <w:sz w:val="21"/>
              </w:rPr>
              <w:t>5、光敏剂吸附率≥85%；</w:t>
            </w:r>
          </w:p>
          <w:p>
            <w:pPr>
              <w:pStyle w:val="null3"/>
              <w:ind w:firstLine="420"/>
              <w:jc w:val="left"/>
            </w:pPr>
            <w:r>
              <w:rPr>
                <w:rFonts w:ascii="仿宋_GB2312" w:hAnsi="仿宋_GB2312" w:cs="仿宋_GB2312" w:eastAsia="仿宋_GB2312"/>
                <w:sz w:val="21"/>
              </w:rPr>
              <w:t>6、过滤时间：2-3分钟；</w:t>
            </w:r>
          </w:p>
          <w:p>
            <w:pPr>
              <w:pStyle w:val="null3"/>
              <w:ind w:firstLine="420"/>
              <w:jc w:val="left"/>
            </w:pPr>
            <w:r>
              <w:rPr>
                <w:rFonts w:ascii="仿宋_GB2312" w:hAnsi="仿宋_GB2312" w:cs="仿宋_GB2312" w:eastAsia="仿宋_GB2312"/>
                <w:sz w:val="21"/>
              </w:rPr>
              <w:t>7、必须与经过工艺验证的灭活设备配套使用，以达到产品灭活效果(提供证明材料)；</w:t>
            </w:r>
          </w:p>
          <w:p>
            <w:pPr>
              <w:pStyle w:val="null3"/>
              <w:ind w:firstLine="420"/>
              <w:jc w:val="left"/>
            </w:pPr>
            <w:r>
              <w:rPr>
                <w:rFonts w:ascii="仿宋_GB2312" w:hAnsi="仿宋_GB2312" w:cs="仿宋_GB2312" w:eastAsia="仿宋_GB2312"/>
                <w:sz w:val="21"/>
              </w:rPr>
              <w:t>8、血浆过滤后颜色、外观与正常血浆无明显差异，血浆损失量小于15ml；</w:t>
            </w:r>
          </w:p>
          <w:p>
            <w:pPr>
              <w:pStyle w:val="null3"/>
              <w:ind w:firstLine="420"/>
              <w:jc w:val="left"/>
            </w:pPr>
            <w:r>
              <w:rPr>
                <w:rFonts w:ascii="仿宋_GB2312" w:hAnsi="仿宋_GB2312" w:cs="仿宋_GB2312" w:eastAsia="仿宋_GB2312"/>
                <w:sz w:val="21"/>
              </w:rPr>
              <w:t>9、每套耗材各导管均有一致性编号，导管与血浆袋导管相匹配；血浆照射袋采用特制血浆照射袋，保证良好的透光率；</w:t>
            </w:r>
          </w:p>
          <w:p>
            <w:pPr>
              <w:pStyle w:val="null3"/>
              <w:ind w:firstLine="420"/>
              <w:jc w:val="left"/>
            </w:pPr>
            <w:r>
              <w:rPr>
                <w:rFonts w:ascii="仿宋_GB2312" w:hAnsi="仿宋_GB2312" w:cs="仿宋_GB2312" w:eastAsia="仿宋_GB2312"/>
                <w:sz w:val="21"/>
              </w:rPr>
              <w:t>10、每套耗材的生产批号有数字（可包含字母）和条形码；</w:t>
            </w:r>
          </w:p>
          <w:p>
            <w:pPr>
              <w:pStyle w:val="null3"/>
              <w:ind w:firstLine="420"/>
              <w:jc w:val="left"/>
            </w:pPr>
            <w:r>
              <w:rPr>
                <w:rFonts w:ascii="仿宋_GB2312" w:hAnsi="仿宋_GB2312" w:cs="仿宋_GB2312" w:eastAsia="仿宋_GB2312"/>
                <w:sz w:val="21"/>
              </w:rPr>
              <w:t>▲11、耗材需与本单位现有设备ZBK-YBM型医用病毒灭活箱相匹配。</w:t>
            </w:r>
            <w:r>
              <w:rPr>
                <w:rFonts w:ascii="仿宋_GB2312" w:hAnsi="仿宋_GB2312" w:cs="仿宋_GB2312" w:eastAsia="仿宋_GB2312"/>
                <w:sz w:val="21"/>
                <w:b/>
              </w:rPr>
              <w:t>供应商需提供与其耗材相配套的仪器设备供甲方使用，仪器设备的保养、维护由厂家提供；提供相同型号的灭活箱不少于4台。</w:t>
            </w:r>
          </w:p>
          <w:p>
            <w:pPr>
              <w:pStyle w:val="null3"/>
              <w:ind w:firstLine="420"/>
              <w:jc w:val="left"/>
            </w:pPr>
            <w:r>
              <w:rPr>
                <w:rFonts w:ascii="仿宋_GB2312" w:hAnsi="仿宋_GB2312" w:cs="仿宋_GB2312" w:eastAsia="仿宋_GB2312"/>
                <w:sz w:val="21"/>
              </w:rPr>
              <w:t>12.外观：病毒灭活输血过滤器的软管应光洁，无明显机械杂质、异物、扭结。过滤部件、亚甲蓝添加元件外壳应光洁，无明显机械杂质、异物，焊接面应均匀、无气泡。</w:t>
            </w:r>
          </w:p>
          <w:p>
            <w:pPr>
              <w:pStyle w:val="null3"/>
              <w:ind w:firstLine="420"/>
              <w:jc w:val="left"/>
            </w:pPr>
            <w:r>
              <w:rPr>
                <w:rFonts w:ascii="仿宋_GB2312" w:hAnsi="仿宋_GB2312" w:cs="仿宋_GB2312" w:eastAsia="仿宋_GB2312"/>
                <w:sz w:val="21"/>
              </w:rPr>
              <w:t>未注明项目均应符合</w:t>
            </w:r>
            <w:r>
              <w:rPr>
                <w:rFonts w:ascii="仿宋_GB2312" w:hAnsi="仿宋_GB2312" w:cs="仿宋_GB2312" w:eastAsia="仿宋_GB2312"/>
                <w:sz w:val="21"/>
              </w:rPr>
              <w:t>GB 18469《全血及成分血质量要求》和《血站技术操作规程（最新版）》和《一次性使用血液及血液成分病毒灭活器材第1部分：亚甲蓝病毒灭活器材》的要求。</w:t>
            </w:r>
          </w:p>
          <w:p>
            <w:pPr>
              <w:pStyle w:val="null3"/>
              <w:ind w:firstLine="422"/>
              <w:jc w:val="left"/>
            </w:pPr>
            <w:r>
              <w:rPr>
                <w:rFonts w:ascii="仿宋_GB2312" w:hAnsi="仿宋_GB2312" w:cs="仿宋_GB2312" w:eastAsia="仿宋_GB2312"/>
                <w:sz w:val="21"/>
                <w:b/>
              </w:rPr>
              <w:t>三、商务要求</w:t>
            </w:r>
          </w:p>
          <w:p>
            <w:pPr>
              <w:pStyle w:val="null3"/>
              <w:ind w:firstLine="420"/>
              <w:jc w:val="left"/>
            </w:pPr>
            <w:r>
              <w:rPr>
                <w:rFonts w:ascii="仿宋_GB2312" w:hAnsi="仿宋_GB2312" w:cs="仿宋_GB2312" w:eastAsia="仿宋_GB2312"/>
                <w:sz w:val="21"/>
              </w:rPr>
              <w:t>1、供货期：自合同签订之日起一年之内，按需配送。</w:t>
            </w:r>
          </w:p>
          <w:p>
            <w:pPr>
              <w:pStyle w:val="null3"/>
              <w:ind w:firstLine="420"/>
              <w:jc w:val="left"/>
            </w:pPr>
            <w:r>
              <w:rPr>
                <w:rFonts w:ascii="仿宋_GB2312" w:hAnsi="仿宋_GB2312" w:cs="仿宋_GB2312" w:eastAsia="仿宋_GB2312"/>
                <w:sz w:val="21"/>
              </w:rPr>
              <w:t>2、交货时间：接到采购人订单之日起7日内交货。</w:t>
            </w:r>
          </w:p>
          <w:p>
            <w:pPr>
              <w:pStyle w:val="null3"/>
              <w:jc w:val="left"/>
            </w:pPr>
            <w:r>
              <w:rPr>
                <w:rFonts w:ascii="仿宋_GB2312" w:hAnsi="仿宋_GB2312" w:cs="仿宋_GB2312" w:eastAsia="仿宋_GB2312"/>
                <w:sz w:val="21"/>
              </w:rPr>
              <w:t>3、款项结算：</w:t>
            </w:r>
            <w:r>
              <w:rPr>
                <w:rFonts w:ascii="仿宋_GB2312" w:hAnsi="仿宋_GB2312" w:cs="仿宋_GB2312" w:eastAsia="仿宋_GB2312"/>
                <w:sz w:val="21"/>
              </w:rPr>
              <w:t>合同签订后分批采购，分批付款。每批次产品经甲方确认合格后，达到付款条件起</w:t>
            </w:r>
            <w:r>
              <w:rPr>
                <w:rFonts w:ascii="仿宋_GB2312" w:hAnsi="仿宋_GB2312" w:cs="仿宋_GB2312" w:eastAsia="仿宋_GB2312"/>
                <w:sz w:val="21"/>
              </w:rPr>
              <w:t>30</w:t>
            </w:r>
            <w:r>
              <w:rPr>
                <w:rFonts w:ascii="仿宋_GB2312" w:hAnsi="仿宋_GB2312" w:cs="仿宋_GB2312" w:eastAsia="仿宋_GB2312"/>
                <w:sz w:val="21"/>
              </w:rPr>
              <w:t>个工作日</w:t>
            </w:r>
            <w:r>
              <w:rPr>
                <w:rFonts w:ascii="仿宋_GB2312" w:hAnsi="仿宋_GB2312" w:cs="仿宋_GB2312" w:eastAsia="仿宋_GB2312"/>
                <w:sz w:val="21"/>
              </w:rPr>
              <w:t>内，按实际收货量据实支付本批次总金额的</w:t>
            </w:r>
            <w:r>
              <w:rPr>
                <w:rFonts w:ascii="仿宋_GB2312" w:hAnsi="仿宋_GB2312" w:cs="仿宋_GB2312" w:eastAsia="仿宋_GB2312"/>
                <w:sz w:val="21"/>
              </w:rPr>
              <w:t>100.00%。</w:t>
            </w:r>
          </w:p>
          <w:p>
            <w:pPr>
              <w:pStyle w:val="null3"/>
              <w:ind w:firstLine="420"/>
              <w:jc w:val="left"/>
            </w:pPr>
            <w:r>
              <w:rPr>
                <w:rFonts w:ascii="仿宋_GB2312" w:hAnsi="仿宋_GB2312" w:cs="仿宋_GB2312" w:eastAsia="仿宋_GB2312"/>
                <w:sz w:val="21"/>
              </w:rPr>
              <w:t>4、交货地点：西安市中心血站指定地点。</w:t>
            </w:r>
          </w:p>
          <w:p>
            <w:pPr>
              <w:pStyle w:val="null3"/>
              <w:ind w:firstLine="420"/>
              <w:jc w:val="left"/>
            </w:pPr>
            <w:r>
              <w:rPr>
                <w:rFonts w:ascii="仿宋_GB2312" w:hAnsi="仿宋_GB2312" w:cs="仿宋_GB2312" w:eastAsia="仿宋_GB2312"/>
                <w:sz w:val="21"/>
              </w:rPr>
              <w:t>5、产品质保期：收货后有效期≥12个月。</w:t>
            </w:r>
          </w:p>
          <w:p>
            <w:pPr>
              <w:pStyle w:val="null3"/>
              <w:ind w:firstLine="420"/>
              <w:jc w:val="left"/>
            </w:pPr>
            <w:r>
              <w:rPr>
                <w:rFonts w:ascii="仿宋_GB2312" w:hAnsi="仿宋_GB2312" w:cs="仿宋_GB2312" w:eastAsia="仿宋_GB2312"/>
                <w:sz w:val="21"/>
              </w:rPr>
              <w:t>6、售后：</w:t>
            </w:r>
          </w:p>
          <w:p>
            <w:pPr>
              <w:pStyle w:val="null3"/>
              <w:ind w:firstLine="420"/>
              <w:jc w:val="left"/>
            </w:pPr>
            <w:r>
              <w:rPr>
                <w:rFonts w:ascii="仿宋_GB2312" w:hAnsi="仿宋_GB2312" w:cs="仿宋_GB2312" w:eastAsia="仿宋_GB2312"/>
                <w:sz w:val="21"/>
              </w:rPr>
              <w:t>6.1 技术服务承诺：乙方提供必要的技术支持，包括现场指导、集中授课、专项操作等。</w:t>
            </w:r>
          </w:p>
          <w:p>
            <w:pPr>
              <w:pStyle w:val="null3"/>
            </w:pPr>
            <w:r>
              <w:rPr>
                <w:rFonts w:ascii="仿宋_GB2312" w:hAnsi="仿宋_GB2312" w:cs="仿宋_GB2312" w:eastAsia="仿宋_GB2312"/>
                <w:sz w:val="21"/>
              </w:rPr>
              <w:t>6.2 售后服务承诺：甲方发现有质量或可能影响质量问题时，乙方接到通知后1小时内响应，24小时内到达现场解决问题。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标的名称：一次性使用病毒灭活输血过滤器材100ml（B1） 一次性使用病毒灭活输血过滤器材200ml（B2）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一、采购内容（包括采购品目、规格和数量）</w:t>
            </w:r>
          </w:p>
          <w:tbl>
            <w:tblPr>
              <w:tblBorders>
                <w:top w:val="none" w:color="000000" w:sz="4"/>
                <w:left w:val="none" w:color="000000" w:sz="4"/>
                <w:bottom w:val="none" w:color="000000" w:sz="4"/>
                <w:right w:val="none" w:color="000000" w:sz="4"/>
                <w:insideH w:val="none"/>
                <w:insideV w:val="none"/>
              </w:tblBorders>
            </w:tblPr>
            <w:tblGrid>
              <w:gridCol w:w="276"/>
              <w:gridCol w:w="1026"/>
              <w:gridCol w:w="421"/>
              <w:gridCol w:w="315"/>
              <w:gridCol w:w="500"/>
            </w:tblGrid>
            <w:tr>
              <w:tc>
                <w:tcPr>
                  <w:tcW w:type="dxa" w:w="2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物品名称</w:t>
                  </w:r>
                </w:p>
              </w:tc>
              <w:tc>
                <w:tcPr>
                  <w:tcW w:type="dxa" w:w="42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1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50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预算金额（元）</w:t>
                  </w:r>
                </w:p>
              </w:tc>
            </w:tr>
            <w:tr>
              <w:tc>
                <w:tcPr>
                  <w:tcW w:type="dxa" w:w="2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一次性使用病毒灭活输血过滤器材</w:t>
                  </w:r>
                  <w:r>
                    <w:rPr>
                      <w:rFonts w:ascii="仿宋_GB2312" w:hAnsi="仿宋_GB2312" w:cs="仿宋_GB2312" w:eastAsia="仿宋_GB2312"/>
                      <w:sz w:val="21"/>
                    </w:rPr>
                    <w:t>100ml（B1）</w:t>
                  </w:r>
                </w:p>
              </w:tc>
              <w:tc>
                <w:tcPr>
                  <w:tcW w:type="dxa" w:w="4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1155000</w:t>
                  </w:r>
                </w:p>
              </w:tc>
            </w:tr>
            <w:tr>
              <w:tc>
                <w:tcPr>
                  <w:tcW w:type="dxa" w:w="2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0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一次性使用病毒灭活输血过滤器材</w:t>
                  </w:r>
                  <w:r>
                    <w:rPr>
                      <w:rFonts w:ascii="仿宋_GB2312" w:hAnsi="仿宋_GB2312" w:cs="仿宋_GB2312" w:eastAsia="仿宋_GB2312"/>
                      <w:sz w:val="21"/>
                    </w:rPr>
                    <w:t>200ml（B2）</w:t>
                  </w:r>
                </w:p>
              </w:tc>
              <w:tc>
                <w:tcPr>
                  <w:tcW w:type="dxa" w:w="4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30000</w:t>
                  </w:r>
                </w:p>
              </w:tc>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1260000</w:t>
                  </w:r>
                </w:p>
              </w:tc>
            </w:tr>
            <w:tr>
              <w:tc>
                <w:tcPr>
                  <w:tcW w:type="dxa" w:w="2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rPr>
                    <w:t>3</w:t>
                  </w:r>
                </w:p>
                <w:p>
                  <w:pPr>
                    <w:pStyle w:val="null3"/>
                    <w:jc w:val="center"/>
                  </w:pPr>
                </w:p>
              </w:tc>
              <w:tc>
                <w:tcPr>
                  <w:tcW w:type="dxa" w:w="10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血浆外包装袋</w:t>
                  </w:r>
                </w:p>
              </w:tc>
              <w:tc>
                <w:tcPr>
                  <w:tcW w:type="dxa" w:w="4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c>
                <w:tcPr>
                  <w:tcW w:type="dxa" w:w="31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5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3560</w:t>
                  </w:r>
                </w:p>
              </w:tc>
            </w:tr>
            <w:tr>
              <w:tc>
                <w:tcPr>
                  <w:tcW w:type="dxa" w:w="2038"/>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50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2418560</w:t>
                  </w:r>
                </w:p>
              </w:tc>
            </w:tr>
          </w:tbl>
          <w:p>
            <w:pPr>
              <w:pStyle w:val="null3"/>
              <w:ind w:firstLine="526"/>
              <w:jc w:val="both"/>
            </w:pPr>
            <w:r>
              <w:rPr>
                <w:rFonts w:ascii="仿宋_GB2312" w:hAnsi="仿宋_GB2312" w:cs="仿宋_GB2312" w:eastAsia="仿宋_GB2312"/>
                <w:sz w:val="21"/>
                <w:b/>
              </w:rPr>
              <w:t>二、技术要求（包括对产品的认证、检验报告等）</w:t>
            </w:r>
          </w:p>
          <w:p>
            <w:pPr>
              <w:pStyle w:val="null3"/>
              <w:ind w:firstLine="420"/>
              <w:jc w:val="left"/>
            </w:pPr>
            <w:r>
              <w:rPr>
                <w:rFonts w:ascii="仿宋_GB2312" w:hAnsi="仿宋_GB2312" w:cs="仿宋_GB2312" w:eastAsia="仿宋_GB2312"/>
                <w:sz w:val="21"/>
              </w:rPr>
              <w:t>（一）规格</w:t>
            </w:r>
          </w:p>
          <w:p>
            <w:pPr>
              <w:pStyle w:val="null3"/>
              <w:ind w:firstLine="420"/>
              <w:jc w:val="left"/>
            </w:pPr>
            <w:r>
              <w:rPr>
                <w:rFonts w:ascii="仿宋_GB2312" w:hAnsi="仿宋_GB2312" w:cs="仿宋_GB2312" w:eastAsia="仿宋_GB2312"/>
                <w:sz w:val="21"/>
              </w:rPr>
              <w:t>1、B1（适用于200mL全血制备的血浆病毒灭活）；</w:t>
            </w:r>
          </w:p>
          <w:p>
            <w:pPr>
              <w:pStyle w:val="null3"/>
              <w:ind w:firstLine="420"/>
              <w:jc w:val="left"/>
            </w:pPr>
            <w:r>
              <w:rPr>
                <w:rFonts w:ascii="仿宋_GB2312" w:hAnsi="仿宋_GB2312" w:cs="仿宋_GB2312" w:eastAsia="仿宋_GB2312"/>
                <w:sz w:val="21"/>
              </w:rPr>
              <w:t>2、B2（适用于400mL全血制备的血浆病毒灭活）。</w:t>
            </w:r>
          </w:p>
          <w:p>
            <w:pPr>
              <w:pStyle w:val="null3"/>
              <w:ind w:firstLine="420"/>
              <w:jc w:val="left"/>
            </w:pPr>
            <w:r>
              <w:rPr>
                <w:rFonts w:ascii="仿宋_GB2312" w:hAnsi="仿宋_GB2312" w:cs="仿宋_GB2312" w:eastAsia="仿宋_GB2312"/>
                <w:sz w:val="21"/>
              </w:rPr>
              <w:t>（二）主要技术参数如下</w:t>
            </w:r>
          </w:p>
          <w:p>
            <w:pPr>
              <w:pStyle w:val="null3"/>
              <w:ind w:firstLine="420"/>
              <w:jc w:val="left"/>
            </w:pPr>
            <w:r>
              <w:rPr>
                <w:rFonts w:ascii="仿宋_GB2312" w:hAnsi="仿宋_GB2312" w:cs="仿宋_GB2312" w:eastAsia="仿宋_GB2312"/>
                <w:sz w:val="21"/>
              </w:rPr>
              <w:t>▲1、产品达到国家要求的指示病毒灭活效果：无毒、无菌、无热源等(提供证明材料)；</w:t>
            </w:r>
          </w:p>
          <w:p>
            <w:pPr>
              <w:pStyle w:val="null3"/>
              <w:ind w:firstLine="420"/>
              <w:jc w:val="left"/>
            </w:pPr>
            <w:r>
              <w:rPr>
                <w:rFonts w:ascii="仿宋_GB2312" w:hAnsi="仿宋_GB2312" w:cs="仿宋_GB2312" w:eastAsia="仿宋_GB2312"/>
                <w:sz w:val="21"/>
              </w:rPr>
              <w:t>2、总蛋白的回收率≥85% ；</w:t>
            </w:r>
          </w:p>
          <w:p>
            <w:pPr>
              <w:pStyle w:val="null3"/>
              <w:ind w:firstLine="420"/>
              <w:jc w:val="left"/>
            </w:pPr>
            <w:r>
              <w:rPr>
                <w:rFonts w:ascii="仿宋_GB2312" w:hAnsi="仿宋_GB2312" w:cs="仿宋_GB2312" w:eastAsia="仿宋_GB2312"/>
                <w:sz w:val="21"/>
              </w:rPr>
              <w:t>3、光敏剂（亚甲蓝）在血浆中的释放含量应≥0.9μmol/L，≤1.3μmol/L；</w:t>
            </w:r>
          </w:p>
          <w:p>
            <w:pPr>
              <w:pStyle w:val="null3"/>
              <w:ind w:firstLine="420"/>
              <w:jc w:val="left"/>
            </w:pPr>
            <w:r>
              <w:rPr>
                <w:rFonts w:ascii="仿宋_GB2312" w:hAnsi="仿宋_GB2312" w:cs="仿宋_GB2312" w:eastAsia="仿宋_GB2312"/>
                <w:sz w:val="21"/>
              </w:rPr>
              <w:t>4、光敏剂（亚甲蓝）吸附率≥85%或光敏剂（亚甲蓝）残留率≤15%；</w:t>
            </w:r>
          </w:p>
          <w:p>
            <w:pPr>
              <w:pStyle w:val="null3"/>
              <w:ind w:firstLine="420"/>
              <w:jc w:val="left"/>
            </w:pPr>
            <w:r>
              <w:rPr>
                <w:rFonts w:ascii="仿宋_GB2312" w:hAnsi="仿宋_GB2312" w:cs="仿宋_GB2312" w:eastAsia="仿宋_GB2312"/>
                <w:sz w:val="21"/>
              </w:rPr>
              <w:t>5、白细胞去除率≥99.9% ；</w:t>
            </w:r>
          </w:p>
          <w:p>
            <w:pPr>
              <w:pStyle w:val="null3"/>
              <w:ind w:firstLine="420"/>
              <w:jc w:val="left"/>
            </w:pPr>
            <w:r>
              <w:rPr>
                <w:rFonts w:ascii="仿宋_GB2312" w:hAnsi="仿宋_GB2312" w:cs="仿宋_GB2312" w:eastAsia="仿宋_GB2312"/>
                <w:sz w:val="21"/>
              </w:rPr>
              <w:t>▲6、耗材需与本单位现有设备HDME-1A型医用病毒灭活箱相匹配。</w:t>
            </w:r>
            <w:r>
              <w:rPr>
                <w:rFonts w:ascii="仿宋_GB2312" w:hAnsi="仿宋_GB2312" w:cs="仿宋_GB2312" w:eastAsia="仿宋_GB2312"/>
                <w:sz w:val="21"/>
                <w:b/>
              </w:rPr>
              <w:t>供应商需提供与其耗材相配套的仪器设备供甲方使用，仪器设备的保养、维护由厂家提供；提供相同型号的灭活箱不少于4台。</w:t>
            </w:r>
          </w:p>
          <w:p>
            <w:pPr>
              <w:pStyle w:val="null3"/>
              <w:ind w:firstLine="420"/>
              <w:jc w:val="left"/>
            </w:pPr>
            <w:r>
              <w:rPr>
                <w:rFonts w:ascii="仿宋_GB2312" w:hAnsi="仿宋_GB2312" w:cs="仿宋_GB2312" w:eastAsia="仿宋_GB2312"/>
                <w:sz w:val="21"/>
              </w:rPr>
              <w:t>7、每套耗材的生产批号有数字（可包含字母）和条形码；</w:t>
            </w:r>
          </w:p>
          <w:p>
            <w:pPr>
              <w:pStyle w:val="null3"/>
              <w:ind w:firstLine="420"/>
              <w:jc w:val="left"/>
            </w:pPr>
            <w:r>
              <w:rPr>
                <w:rFonts w:ascii="仿宋_GB2312" w:hAnsi="仿宋_GB2312" w:cs="仿宋_GB2312" w:eastAsia="仿宋_GB2312"/>
                <w:sz w:val="21"/>
              </w:rPr>
              <w:t>8、每套耗材各导管均有一致性编号，导管与血浆袋导管相匹配；血浆照射袋采用特制血浆照射袋；</w:t>
            </w:r>
          </w:p>
          <w:p>
            <w:pPr>
              <w:pStyle w:val="null3"/>
              <w:ind w:firstLine="420"/>
              <w:jc w:val="left"/>
            </w:pPr>
            <w:r>
              <w:rPr>
                <w:rFonts w:ascii="仿宋_GB2312" w:hAnsi="仿宋_GB2312" w:cs="仿宋_GB2312" w:eastAsia="仿宋_GB2312"/>
                <w:sz w:val="21"/>
              </w:rPr>
              <w:t>9、AT-III和vwf的回收率均达到90%以上(提供证明材料)；</w:t>
            </w:r>
          </w:p>
          <w:p>
            <w:pPr>
              <w:pStyle w:val="null3"/>
              <w:ind w:firstLine="420"/>
              <w:jc w:val="left"/>
            </w:pPr>
            <w:r>
              <w:rPr>
                <w:rFonts w:ascii="仿宋_GB2312" w:hAnsi="仿宋_GB2312" w:cs="仿宋_GB2312" w:eastAsia="仿宋_GB2312"/>
                <w:sz w:val="21"/>
              </w:rPr>
              <w:t>10、血浆蛋白的免疫原性无变异(提供证明材料)；</w:t>
            </w:r>
          </w:p>
          <w:p>
            <w:pPr>
              <w:pStyle w:val="null3"/>
              <w:ind w:firstLine="420"/>
              <w:jc w:val="left"/>
            </w:pPr>
            <w:r>
              <w:rPr>
                <w:rFonts w:ascii="仿宋_GB2312" w:hAnsi="仿宋_GB2312" w:cs="仿宋_GB2312" w:eastAsia="仿宋_GB2312"/>
                <w:sz w:val="21"/>
              </w:rPr>
              <w:t>11、血浆主要凝血因子（如FVIII等）的回收率符合国家要求。血浆损失量≤15ml。</w:t>
            </w:r>
          </w:p>
          <w:p>
            <w:pPr>
              <w:pStyle w:val="null3"/>
              <w:ind w:firstLine="420"/>
              <w:jc w:val="left"/>
            </w:pPr>
            <w:r>
              <w:rPr>
                <w:rFonts w:ascii="仿宋_GB2312" w:hAnsi="仿宋_GB2312" w:cs="仿宋_GB2312" w:eastAsia="仿宋_GB2312"/>
                <w:sz w:val="21"/>
              </w:rPr>
              <w:t>未注明项目均应符合</w:t>
            </w:r>
            <w:r>
              <w:rPr>
                <w:rFonts w:ascii="仿宋_GB2312" w:hAnsi="仿宋_GB2312" w:cs="仿宋_GB2312" w:eastAsia="仿宋_GB2312"/>
                <w:sz w:val="21"/>
              </w:rPr>
              <w:t>GB 18469《全血及成分血质量要求》和《血站技术操作规程（最新版）》和《一次性使用血液及血液成分病毒灭活器材第1部分：亚甲蓝病毒灭活器材》的要求。</w:t>
            </w:r>
          </w:p>
          <w:p>
            <w:pPr>
              <w:pStyle w:val="null3"/>
              <w:ind w:firstLine="420"/>
              <w:jc w:val="left"/>
            </w:pPr>
            <w:r>
              <w:rPr>
                <w:rFonts w:ascii="仿宋_GB2312" w:hAnsi="仿宋_GB2312" w:cs="仿宋_GB2312" w:eastAsia="仿宋_GB2312"/>
                <w:sz w:val="21"/>
              </w:rPr>
              <w:t>（三）血浆外包装袋</w:t>
            </w:r>
          </w:p>
          <w:p>
            <w:pPr>
              <w:pStyle w:val="null3"/>
              <w:ind w:firstLine="420"/>
              <w:jc w:val="left"/>
            </w:pPr>
            <w:r>
              <w:rPr>
                <w:rFonts w:ascii="仿宋_GB2312" w:hAnsi="仿宋_GB2312" w:cs="仿宋_GB2312" w:eastAsia="仿宋_GB2312"/>
                <w:sz w:val="21"/>
              </w:rPr>
              <w:t>1、适合-25℃温度下冰冻血浆的存储、运输，具有有防震减震和防渗漏的功能。</w:t>
            </w:r>
          </w:p>
          <w:p>
            <w:pPr>
              <w:pStyle w:val="null3"/>
              <w:ind w:firstLine="420"/>
              <w:jc w:val="left"/>
            </w:pPr>
            <w:r>
              <w:rPr>
                <w:rFonts w:ascii="仿宋_GB2312" w:hAnsi="仿宋_GB2312" w:cs="仿宋_GB2312" w:eastAsia="仿宋_GB2312"/>
                <w:sz w:val="21"/>
              </w:rPr>
              <w:t>2、袋体为气泡防震信封式塑料袋，上下两面分别用单层气泡塑料（气泡面向里）和透明塑料材质制作。采用聚乙烯膜材，信封的背面用气泡塑料,且气泡塑料面易于干胶黏贴，在-25℃以下不易脱落，正面用透明塑料，信封口自带不干胶密封条，待装入冰冻血浆后密封血浆。包装完成后及储存过程中封口处不能脱落或自行打开。</w:t>
            </w:r>
          </w:p>
          <w:p>
            <w:pPr>
              <w:pStyle w:val="null3"/>
              <w:ind w:firstLine="420"/>
              <w:jc w:val="left"/>
            </w:pPr>
            <w:r>
              <w:rPr>
                <w:rFonts w:ascii="仿宋_GB2312" w:hAnsi="仿宋_GB2312" w:cs="仿宋_GB2312" w:eastAsia="仿宋_GB2312"/>
                <w:sz w:val="21"/>
              </w:rPr>
              <w:t>3、袋体透明一面（信封正面）为白色，表面手感顺滑，表面无杂质，不宜过软。电子扫描枪可以顺利扫描袋内血浆袋上的条形码。袋体左上方有本单位标识（九宫格左上方位置），大袋和小袋要有较明显的区别。该面为信封口，信封口处长4.0-4.5cm，自带不干胶密封条的长度是整个袋体的宽度，宽度≥1cm。</w:t>
            </w:r>
          </w:p>
          <w:p>
            <w:pPr>
              <w:pStyle w:val="null3"/>
              <w:ind w:firstLine="420"/>
              <w:jc w:val="left"/>
            </w:pPr>
            <w:r>
              <w:rPr>
                <w:rFonts w:ascii="仿宋_GB2312" w:hAnsi="仿宋_GB2312" w:cs="仿宋_GB2312" w:eastAsia="仿宋_GB2312"/>
                <w:sz w:val="21"/>
              </w:rPr>
              <w:t>4、袋体气泡一面（信封背面）白色或淡蓝色，表面顺滑，气泡与贴膜紧密度强，不能剥脱。单层气泡在袋体里面，气泡厚度1-2mm，袋体外面顺滑平整，易与信封口的不干胶粘贴，保证包装袋封口牢固。</w:t>
            </w:r>
          </w:p>
          <w:p>
            <w:pPr>
              <w:pStyle w:val="null3"/>
              <w:ind w:firstLine="420"/>
              <w:jc w:val="left"/>
            </w:pPr>
            <w:r>
              <w:rPr>
                <w:rFonts w:ascii="仿宋_GB2312" w:hAnsi="仿宋_GB2312" w:cs="仿宋_GB2312" w:eastAsia="仿宋_GB2312"/>
                <w:sz w:val="21"/>
              </w:rPr>
              <w:t>5、袋体长度：</w:t>
            </w:r>
          </w:p>
          <w:p>
            <w:pPr>
              <w:pStyle w:val="null3"/>
              <w:ind w:firstLine="420"/>
              <w:jc w:val="left"/>
            </w:pPr>
            <w:r>
              <w:rPr>
                <w:rFonts w:ascii="仿宋_GB2312" w:hAnsi="仿宋_GB2312" w:cs="仿宋_GB2312" w:eastAsia="仿宋_GB2312"/>
                <w:sz w:val="21"/>
              </w:rPr>
              <w:t>5.1 大袋（200ml血浆）：正面 165-180mm，背面：160-170mm；宽度：160-165mm；</w:t>
            </w:r>
          </w:p>
          <w:p>
            <w:pPr>
              <w:pStyle w:val="null3"/>
              <w:ind w:firstLine="420"/>
              <w:jc w:val="left"/>
            </w:pPr>
            <w:r>
              <w:rPr>
                <w:rFonts w:ascii="仿宋_GB2312" w:hAnsi="仿宋_GB2312" w:cs="仿宋_GB2312" w:eastAsia="仿宋_GB2312"/>
                <w:sz w:val="21"/>
              </w:rPr>
              <w:t>5.2 小袋（100ml血浆）：正面 175-190mm，背面：140-150mm；宽度：130-135mm；</w:t>
            </w:r>
          </w:p>
          <w:p>
            <w:pPr>
              <w:pStyle w:val="null3"/>
              <w:ind w:firstLine="420"/>
              <w:jc w:val="left"/>
            </w:pPr>
            <w:r>
              <w:rPr>
                <w:rFonts w:ascii="仿宋_GB2312" w:hAnsi="仿宋_GB2312" w:cs="仿宋_GB2312" w:eastAsia="仿宋_GB2312"/>
                <w:sz w:val="21"/>
              </w:rPr>
              <w:t>5.3 特大号（冰冻红细胞）：270±5mm,内径宽度： 180±5mm。</w:t>
            </w:r>
          </w:p>
          <w:p>
            <w:pPr>
              <w:pStyle w:val="null3"/>
              <w:ind w:firstLine="420"/>
              <w:jc w:val="left"/>
            </w:pPr>
            <w:r>
              <w:rPr>
                <w:rFonts w:ascii="仿宋_GB2312" w:hAnsi="仿宋_GB2312" w:cs="仿宋_GB2312" w:eastAsia="仿宋_GB2312"/>
                <w:sz w:val="21"/>
              </w:rPr>
              <w:t>6、重量：小袋6-8g，大袋7-9g，特大号10-15g。</w:t>
            </w:r>
          </w:p>
          <w:p>
            <w:pPr>
              <w:pStyle w:val="null3"/>
              <w:ind w:firstLine="420"/>
              <w:jc w:val="left"/>
            </w:pPr>
            <w:r>
              <w:rPr>
                <w:rFonts w:ascii="仿宋_GB2312" w:hAnsi="仿宋_GB2312" w:cs="仿宋_GB2312" w:eastAsia="仿宋_GB2312"/>
                <w:sz w:val="21"/>
              </w:rPr>
              <w:t>7、数量：小袋500个；大袋1200个，特大袋300个。数量可随实际使用情况调整。</w:t>
            </w:r>
          </w:p>
          <w:p>
            <w:pPr>
              <w:pStyle w:val="null3"/>
              <w:ind w:firstLine="422"/>
              <w:jc w:val="left"/>
            </w:pPr>
            <w:r>
              <w:rPr>
                <w:rFonts w:ascii="仿宋_GB2312" w:hAnsi="仿宋_GB2312" w:cs="仿宋_GB2312" w:eastAsia="仿宋_GB2312"/>
                <w:sz w:val="21"/>
                <w:b/>
              </w:rPr>
              <w:t>三、商务要求</w:t>
            </w:r>
          </w:p>
          <w:p>
            <w:pPr>
              <w:pStyle w:val="null3"/>
              <w:ind w:firstLine="420"/>
              <w:jc w:val="left"/>
            </w:pPr>
            <w:r>
              <w:rPr>
                <w:rFonts w:ascii="仿宋_GB2312" w:hAnsi="仿宋_GB2312" w:cs="仿宋_GB2312" w:eastAsia="仿宋_GB2312"/>
                <w:sz w:val="21"/>
              </w:rPr>
              <w:t>1、供货期：自合同签订之日起一年之内，按需配送。</w:t>
            </w:r>
          </w:p>
          <w:p>
            <w:pPr>
              <w:pStyle w:val="null3"/>
              <w:ind w:firstLine="420"/>
              <w:jc w:val="left"/>
            </w:pPr>
            <w:r>
              <w:rPr>
                <w:rFonts w:ascii="仿宋_GB2312" w:hAnsi="仿宋_GB2312" w:cs="仿宋_GB2312" w:eastAsia="仿宋_GB2312"/>
                <w:sz w:val="21"/>
              </w:rPr>
              <w:t>2、交货时间：接到采购人订单之日起7日内交货。</w:t>
            </w:r>
          </w:p>
          <w:p>
            <w:pPr>
              <w:pStyle w:val="null3"/>
              <w:jc w:val="left"/>
            </w:pPr>
            <w:r>
              <w:rPr>
                <w:rFonts w:ascii="仿宋_GB2312" w:hAnsi="仿宋_GB2312" w:cs="仿宋_GB2312" w:eastAsia="仿宋_GB2312"/>
                <w:sz w:val="21"/>
              </w:rPr>
              <w:t>3、款项结算：</w:t>
            </w:r>
            <w:r>
              <w:rPr>
                <w:rFonts w:ascii="仿宋_GB2312" w:hAnsi="仿宋_GB2312" w:cs="仿宋_GB2312" w:eastAsia="仿宋_GB2312"/>
                <w:sz w:val="21"/>
              </w:rPr>
              <w:t>合同签订后分批采购，分批付款。每批次产品经甲方确认合格后，达到付款条件起</w:t>
            </w:r>
            <w:r>
              <w:rPr>
                <w:rFonts w:ascii="仿宋_GB2312" w:hAnsi="仿宋_GB2312" w:cs="仿宋_GB2312" w:eastAsia="仿宋_GB2312"/>
                <w:sz w:val="21"/>
              </w:rPr>
              <w:t>30</w:t>
            </w:r>
            <w:r>
              <w:rPr>
                <w:rFonts w:ascii="仿宋_GB2312" w:hAnsi="仿宋_GB2312" w:cs="仿宋_GB2312" w:eastAsia="仿宋_GB2312"/>
                <w:sz w:val="21"/>
              </w:rPr>
              <w:t>个工作日</w:t>
            </w:r>
            <w:r>
              <w:rPr>
                <w:rFonts w:ascii="仿宋_GB2312" w:hAnsi="仿宋_GB2312" w:cs="仿宋_GB2312" w:eastAsia="仿宋_GB2312"/>
                <w:sz w:val="21"/>
              </w:rPr>
              <w:t>内，按实际收货量据实支付本批次总金额的</w:t>
            </w:r>
            <w:r>
              <w:rPr>
                <w:rFonts w:ascii="仿宋_GB2312" w:hAnsi="仿宋_GB2312" w:cs="仿宋_GB2312" w:eastAsia="仿宋_GB2312"/>
                <w:sz w:val="21"/>
              </w:rPr>
              <w:t>100.00%。</w:t>
            </w:r>
          </w:p>
          <w:p>
            <w:pPr>
              <w:pStyle w:val="null3"/>
              <w:ind w:firstLine="420"/>
              <w:jc w:val="left"/>
            </w:pPr>
            <w:r>
              <w:rPr>
                <w:rFonts w:ascii="仿宋_GB2312" w:hAnsi="仿宋_GB2312" w:cs="仿宋_GB2312" w:eastAsia="仿宋_GB2312"/>
                <w:sz w:val="21"/>
              </w:rPr>
              <w:t>4、交货地点：西安市中心血站指定地点。</w:t>
            </w:r>
          </w:p>
          <w:p>
            <w:pPr>
              <w:pStyle w:val="null3"/>
              <w:ind w:firstLine="420"/>
              <w:jc w:val="left"/>
            </w:pPr>
            <w:r>
              <w:rPr>
                <w:rFonts w:ascii="仿宋_GB2312" w:hAnsi="仿宋_GB2312" w:cs="仿宋_GB2312" w:eastAsia="仿宋_GB2312"/>
                <w:sz w:val="21"/>
              </w:rPr>
              <w:t>5、产品质保期：收货后有效期≥12个月。</w:t>
            </w:r>
          </w:p>
          <w:p>
            <w:pPr>
              <w:pStyle w:val="null3"/>
              <w:ind w:firstLine="420"/>
              <w:jc w:val="left"/>
            </w:pPr>
            <w:r>
              <w:rPr>
                <w:rFonts w:ascii="仿宋_GB2312" w:hAnsi="仿宋_GB2312" w:cs="仿宋_GB2312" w:eastAsia="仿宋_GB2312"/>
                <w:sz w:val="21"/>
              </w:rPr>
              <w:t>6、售后：</w:t>
            </w:r>
          </w:p>
          <w:p>
            <w:pPr>
              <w:pStyle w:val="null3"/>
              <w:ind w:firstLine="420"/>
              <w:jc w:val="left"/>
            </w:pPr>
            <w:r>
              <w:rPr>
                <w:rFonts w:ascii="仿宋_GB2312" w:hAnsi="仿宋_GB2312" w:cs="仿宋_GB2312" w:eastAsia="仿宋_GB2312"/>
                <w:sz w:val="21"/>
              </w:rPr>
              <w:t>6.1 技术服务承诺：乙方提供必要的技术支持，包括现场指导、集中授课、专项操作等。</w:t>
            </w:r>
          </w:p>
          <w:p>
            <w:pPr>
              <w:pStyle w:val="null3"/>
              <w:ind w:firstLine="420"/>
              <w:jc w:val="left"/>
            </w:pPr>
            <w:r>
              <w:rPr>
                <w:rFonts w:ascii="仿宋_GB2312" w:hAnsi="仿宋_GB2312" w:cs="仿宋_GB2312" w:eastAsia="仿宋_GB2312"/>
                <w:sz w:val="21"/>
              </w:rPr>
              <w:t>6.2 售后服务承诺：甲方发现有质量或可能影响质量问题时，乙方接到通知后1小时内响应，24小时内到达现场解决问题。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供货期：自合同签订之日起一年之内，按需配送。交货时间：接到采购人订单之日起7日内交货。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供货期：自合同签订之日起一年之内，按需配送。交货时间：接到采购人订单之日起7日内交货。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其他，合同签订后分批采购，分批付款。每批次产品经甲方确认合格后，达到付款条件起30个工作日内，按实际收货量据实支付本批次总金额的 100.00%。，达到付款条件起30个工作日内，支付合同总金额的100.0%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其他，合同签订后分批采购，分批付款。每批次产品经甲方确认合格后，达到付款条件起30个工作日内，按实际收货量据实支付本批次总金额的 100.00%。，达到付款条件起30个工作日内，支付合同总金额的100.0%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收货后有效期≥12个月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兼投不兼中，每个供应商只能被确定为1个采购包的第一成交候选人。本项目按采购包的顺序进行评审，依次按照评审总得分由高到低的顺序，每个采购包推荐三名成交候选人。已获得采购包一的第一成交候选人资格的，将不具有采购包二的成交候选人推荐资格；采购包二从具有成交候选人资格的供应商中，选取排名最高的供应商为第一成交候选人，排名次高的供应商为第二成交候选人，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①具有独立承担民事责任能力的法人、其他组织或自然人，提供合法有效的统一社会信用代码营业执照（事业单位提供事业单位法人证书，自然人应提供身份证）； ②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③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④具有履行合同所必需的设备和专业技术能力的书面声明。 ⑤近3年内在经营活动中没有重大违法记录的书面声明。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①具有独立承担民事责任能力的法人、其他组织或自然人，提供合法有效的统一社会信用代码营业执照（事业单位提供事业单位法人证书，自然人应提供身份证）； ②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③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 ④具有履行合同所必需的设备和专业技术能力的书面声明。 ⑤近3年内在经营活动中没有重大违法记录的书面声明。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非法定代表人参加投标的，须提供法定代表人委托授权书、授权代表身份证、授权代表提供在投标单位缴纳的社保记录（近3个月内任意一个月）；法定代表人参加投标时,只需提供法定代表人身份证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完整无缺项，未超过最高限价，无选择性报价。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符合招标文件的实质性要求</w:t>
            </w:r>
          </w:p>
        </w:tc>
        <w:tc>
          <w:tcPr>
            <w:tcW w:type="dxa" w:w="1661"/>
          </w:tcPr>
          <w:p>
            <w:pPr>
              <w:pStyle w:val="null3"/>
            </w:pPr>
            <w:r>
              <w:rPr>
                <w:rFonts w:ascii="仿宋_GB2312" w:hAnsi="仿宋_GB2312" w:cs="仿宋_GB2312" w:eastAsia="仿宋_GB2312"/>
              </w:rPr>
              <w:t>商务、服务条款偏离表.docx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未出现法律法规或招标⽂件规定的其他⽆效情形。</w:t>
            </w:r>
          </w:p>
        </w:tc>
        <w:tc>
          <w:tcPr>
            <w:tcW w:type="dxa" w:w="1661"/>
          </w:tcPr>
          <w:p>
            <w:pPr>
              <w:pStyle w:val="null3"/>
            </w:pPr>
            <w:r>
              <w:rPr>
                <w:rFonts w:ascii="仿宋_GB2312" w:hAnsi="仿宋_GB2312" w:cs="仿宋_GB2312" w:eastAsia="仿宋_GB2312"/>
              </w:rPr>
              <w:t>本国产品说明 投标函 商务、服务条款偏离表.docx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完整无缺项，未超过最高限价，无选择性报价。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投标文件的有效期 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符合招标文件的实质性要求</w:t>
            </w:r>
          </w:p>
        </w:tc>
        <w:tc>
          <w:tcPr>
            <w:tcW w:type="dxa" w:w="1661"/>
          </w:tcPr>
          <w:p>
            <w:pPr>
              <w:pStyle w:val="null3"/>
            </w:pPr>
            <w:r>
              <w:rPr>
                <w:rFonts w:ascii="仿宋_GB2312" w:hAnsi="仿宋_GB2312" w:cs="仿宋_GB2312" w:eastAsia="仿宋_GB2312"/>
              </w:rPr>
              <w:t>商务、服务条款偏离表.docx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未出现法律法规或招标⽂件规定的其他⽆效情形</w:t>
            </w:r>
          </w:p>
        </w:tc>
        <w:tc>
          <w:tcPr>
            <w:tcW w:type="dxa" w:w="1661"/>
          </w:tcPr>
          <w:p>
            <w:pPr>
              <w:pStyle w:val="null3"/>
            </w:pPr>
            <w:r>
              <w:rPr>
                <w:rFonts w:ascii="仿宋_GB2312" w:hAnsi="仿宋_GB2312" w:cs="仿宋_GB2312" w:eastAsia="仿宋_GB2312"/>
              </w:rPr>
              <w:t>本国产品说明 商务、服务条款偏离表.docx 关于符合本国产品标准的声明函 投标文件封面 中国境内生产的组件成本核算基本规则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投标产品的“技术参数与性能指标--技术要求”参数清楚、明确有相应齐全的技术资料，满足招标文件要求的得 30 分。技术参数“▲”项每不满足一项扣 3 分，非“▲”项每不满足一项扣 2 分，扣完为止。 投标人应提供相关技术参数佐证材料（包括但不限于制造厂家的产品 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一、评审内容：供应商针对本项目编制完整的实施方案，包括但不限于：①技术方案；②质量保证措施；③组织实施方案；④供货方案；⑤验收方案； 二、评审标准： 1.方案内容非常合理，完整详细，可行性高，针对性强，得10分； 2.方案内容合理，完整，可行性较高，针对性较强，得8分； 3.方案内容较合理，较完整，有可行性，有针对性，得6分； 4.方案内容基本合理，基本满足项目需求，得4分； 5.方案内容缺项，漏项，无法满足项目需求，得2分； 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一、评审内容：在满足项目整体质保期的基础上，每延长1年增加1分，最多2分。 二、评审标准：提供承诺书，未提供不得分。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商务、服务条款偏离表.docx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一、评审内容：供应商提供2023年1月至今（以合同签订日期为准）同类产品项目业绩，每一份得2分，最多得8分。 二、评审标准：以投标文件中提供的合同复印件为准，合同复印件须包含签订双方名称、签订时间、主要服务内容、双方盖章页等关键信息页。 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一、评审内容：供应商针对本项目编制完整的售后服务方案，包括但不限于：①售后服务保障体系②售后服务人员组织③备品、备件供应计划④设备（产品）发生故障后的补救措施； 二、评审标准： 1.方案内容非常合理，完整详细，可行性高，针对性强，得10分； 2.方案内容合理，完整，可行性较高，针对性较强，得8分； 3.方案内容较合理，较完整，有可行性，有针对性，得6分； 4.方案内容基本合理，基本满足项目需求，得4分； 5.方案内容缺项，漏项，无法满足项目需求，得2分； 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一、评审内容：供应商针对本项目编制完整的培训方案，包括但不限于：①培训内容②培训目标③培训人员安排④时间安排； 二、评审标准： 1.方案内容非常合理，完整详细，可行性高，针对性强，得10分； 2.方案内容合理，完整，可行性较高，针对性较强，得8分； 3.方案内容较合理，较完整，有可行性，有针对性，得6分； 4.方案内容基本合理，基本满足项目需求，得4分； 5.方案内容缺项，漏项，无法满足项目需求，得2分； 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服务项目价格评审管理的通知》（财库[2007]2号）的有关规定：价格分采用低价优先法计算，即满足招标文件要求且投标价格最低的投标报价为评标基准价，其价格分为满分。其他投标人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投标产品的“技术参数与性能指标--技术要求”参数清楚、明确有相应齐全的技术资料，满足招标文件要求的得 30 分。技术参数“▲”项每不满足一项扣 3 分，非“▲”项每不满足一项扣 2 分，扣完为止。 投标人应提供相关技术参数佐证材料（包括但不限于制造厂家的产品说明书，产品图册，质量检测报告等）。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一、评审内容：供应商针对本项目编制完整的实施方案，包括但不限于：①技术方案；②质量保证措施；③组织实施方案；④供货方案；⑤验收方案； 二、评审标准： 1.方案内容非常合理，完整详细，可行性高，针对性强，得10分； 2.方案内容合理，完整，可行性较高，针对性较强，得8分； 3.方案内容较合理，较完整，有可行性，有针对性，得6分； 4.方案内容基本合理，基本满足项目需求，得4分； 5.方案内容缺项，漏项，无法满足项目需求，得2分； 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一、评审内容：在满足项目整体质保期的基础上，每延长1年增加1分，最多2分。 二、评审标准：提供承诺书，未提供不得分。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一、评审内容：供应商提供2023年1月至今（以合同签订日期为准）同类产品项目业绩，每一份得2分，最多得8分。 二、评审标准：以投标文件中提供的合同复印件为准，合同复印件须包含签订双方名称、签订时间、主要服务内容、双方盖章页等关键信息页。 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一、评审内容：供应商针对本项目编制完整的售后服务方案，包括但不限于：①售后服务保障体系②售后服务人员组织③备品、备件供应计划④设备（产品）发生故障后的补救措施； 二、评审标准： 1.方案内容非常合理，完整详细，可行性高，针对性强，得10分； 2.方案内容合理，完整，可行性较高，针对性较强，得8分； 3.方案内容较合理，较完整，有可行性，有针对性，得6分； 4.方案内容基本合理，基本满足项目需求，得4分； 5.方案内容缺项，漏项，无法满足项目需求，得2分； 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一、评审内容：供应商针对本项目编制完整的培训方案，包括但不限于：①培训内容②培训目标③培训人员安排④时间安排； 二、评审标准： 1.方案内容非常合理，完整详细，可行性高，针对性强，得10分； 2.方案内容合理，完整，可行性较高，针对性较强，得8分； 3.方案内容较合理，较完整，有可行性，有针对性，得6分； 4.方案内容基本合理，基本满足项目需求，得4分； 5.方案内容缺项，漏项，无法满足项目需求，得2分； 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服务项目价格评审管理的通知》（财库[2007]2号）的有关规定：价格分采用低价优先法计算，即满足招标文件要求且投标价格最低的投标报价为评标基准价，其价格分为满分。其他投标人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详见附件：商务、服务条款偏离表.docx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详见附件：商务、服务条款偏离表.docx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