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AF7E46F">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jc w:val="center"/>
        <w:textAlignment w:val="auto"/>
        <w:rPr>
          <w:rStyle w:val="12"/>
          <w:rFonts w:hint="eastAsia" w:ascii="宋体" w:hAnsi="宋体" w:eastAsia="宋体" w:cs="宋体"/>
          <w:sz w:val="36"/>
          <w:szCs w:val="36"/>
        </w:rPr>
      </w:pPr>
      <w:r>
        <w:rPr>
          <w:rStyle w:val="12"/>
          <w:rFonts w:hint="eastAsia" w:ascii="宋体" w:hAnsi="宋体" w:eastAsia="宋体" w:cs="宋体"/>
          <w:sz w:val="36"/>
          <w:szCs w:val="36"/>
        </w:rPr>
        <w:t>鹿鸣金矿井下安全监测监控的系统提升改造项目</w:t>
      </w:r>
    </w:p>
    <w:p w14:paraId="34B6673A">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36"/>
          <w:szCs w:val="36"/>
        </w:rPr>
      </w:pPr>
      <w:r>
        <w:rPr>
          <w:rStyle w:val="12"/>
          <w:rFonts w:hint="eastAsia" w:ascii="宋体" w:hAnsi="宋体" w:eastAsia="宋体" w:cs="宋体"/>
          <w:sz w:val="36"/>
          <w:szCs w:val="36"/>
        </w:rPr>
        <w:t>询问函回复</w:t>
      </w:r>
    </w:p>
    <w:p w14:paraId="2970F3B8">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sz w:val="24"/>
          <w:szCs w:val="24"/>
        </w:rPr>
      </w:pPr>
      <w:r>
        <w:rPr>
          <w:rStyle w:val="12"/>
          <w:rFonts w:hint="eastAsia" w:ascii="宋体" w:hAnsi="宋体" w:eastAsia="宋体" w:cs="宋体"/>
          <w:sz w:val="24"/>
          <w:szCs w:val="24"/>
        </w:rPr>
        <w:t>致各潜在投标人：</w:t>
      </w:r>
    </w:p>
    <w:p w14:paraId="45374888">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陕西丰禾元诚项目管理有限公司受汉阴县应急管理局委托，就"鹿鸣金矿井下安全监测监控的系统提升改造项目"（项目编号：SXFHYC2026-CG041）公开招标事宜，针对潜在投标人提出的询问，经采购人确认，现统一答复如下：</w:t>
      </w:r>
    </w:p>
    <w:p w14:paraId="7213730A">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1：招标文件P39-40：（一）鹿鸣金矿安全监测监控系统与视频智能监控子系统项目---“有毒有害气体和通风系统监测子系统”--1.1.监测监控系统，清单中无相关的上位机软件和工控机电脑，声光报警器、地面交换机以及通讯线缆、通讯光缆、接线盒等辅材，无法组成完整可运行的系统。根据招标文件描述，此次是在原有监测监控系统基础上进行改造，请贵方予以明确投标厂家是否按照全新的系统来补充清单明细？并请贵方明确通讯线缆、通讯光缆、接线盒等数量。</w:t>
      </w:r>
    </w:p>
    <w:p w14:paraId="3A1D8DD6">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02BFA4B7">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本次项目为在矿山</w:t>
      </w:r>
      <w:r>
        <w:rPr>
          <w:rStyle w:val="12"/>
          <w:rFonts w:hint="eastAsia" w:ascii="宋体" w:hAnsi="宋体" w:eastAsia="宋体" w:cs="宋体"/>
          <w:sz w:val="24"/>
          <w:szCs w:val="24"/>
        </w:rPr>
        <w:t>现有KJ110N监测监控系统基础上进行升级改造</w:t>
      </w:r>
      <w:r>
        <w:rPr>
          <w:rFonts w:hint="eastAsia" w:ascii="宋体" w:hAnsi="宋体" w:eastAsia="宋体" w:cs="宋体"/>
          <w:sz w:val="24"/>
          <w:szCs w:val="24"/>
        </w:rPr>
        <w:t>，并非全新建设。现有地面监控中心已配置主机、核心交换机、大屏显示及解码、存储等设备，可继续利旧使用。</w:t>
      </w:r>
    </w:p>
    <w:p w14:paraId="7406370B">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投标人应在现有系统架构上完成新增传感器的接入与系统扩容，并根据现场实际情况配套通讯线缆、光缆、接线盒等辅材，数量以满足系统完整运行为准。具体利旧设备清单详见下表：</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26"/>
        <w:gridCol w:w="2167"/>
        <w:gridCol w:w="3721"/>
        <w:gridCol w:w="926"/>
        <w:gridCol w:w="926"/>
      </w:tblGrid>
      <w:tr w14:paraId="68EEF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3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097177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50"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B78F1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2146"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D3206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型号</w:t>
            </w:r>
          </w:p>
        </w:tc>
        <w:tc>
          <w:tcPr>
            <w:tcW w:w="53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15767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53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6C658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179D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F907EE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A3BD8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监控系统</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C1039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KJ110N监测监控系统</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1E366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1套</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5209A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342E1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F9B10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C269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监测分站</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3A184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KJF130型矿用本安型监控分站</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66605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1套</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4BEC0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273A6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74AE1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665D5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风速传感器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AB5C2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GFY15X风速传感器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AF3EC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AE9FD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52182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A32BF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3C79EB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氧气传感器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F5AC7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GYH25氧气传感器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07A9F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C950C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049E9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F6350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332E4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一氧化碳传感器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F44E2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GYH1000一氧化碳传感器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4EBD5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433473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7D05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741D9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4DEB6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二氧化氮传感器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2D2F2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GEDH100二氧化氮传感器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6D7CD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AA298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5294D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665FE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6A8FA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温度传感器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32697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GWSD100温度传感器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A194E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72069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8656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CAAC8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25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F01E2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湿度传感器</w:t>
            </w:r>
          </w:p>
        </w:tc>
        <w:tc>
          <w:tcPr>
            <w:tcW w:w="214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0E6C1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GWSD100湿度传感器</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A5C7B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1个</w:t>
            </w:r>
          </w:p>
        </w:tc>
        <w:tc>
          <w:tcPr>
            <w:tcW w:w="53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774A9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bl>
    <w:p w14:paraId="179D08CF">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投标人在报价中应综合考虑利旧设备接入、新增设备采购及配套辅材等全部费用。</w:t>
      </w:r>
    </w:p>
    <w:p w14:paraId="556025E8">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2：招标文件P41：1.2提升系统监测，清单中只列出了提升机状态监测设备、提升速度监测设备、电动机电流监测设备各一套，清单未给出明确的上位机和软件，地面交换机以及通讯线缆、通讯光缆、接线盒等辅材数量。请明确是否为在原有系统基础上进行改造或是全新建设，请贵方予以明确数量。</w:t>
      </w:r>
    </w:p>
    <w:p w14:paraId="14649E36">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301F196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提升系统监测</w:t>
      </w:r>
      <w:r>
        <w:rPr>
          <w:rStyle w:val="12"/>
          <w:rFonts w:hint="eastAsia" w:ascii="宋体" w:hAnsi="宋体" w:eastAsia="宋体" w:cs="宋体"/>
          <w:sz w:val="24"/>
          <w:szCs w:val="24"/>
        </w:rPr>
        <w:t>利用矿山现有调度中心上位机组态平台及工控机</w:t>
      </w:r>
      <w:r>
        <w:rPr>
          <w:rFonts w:hint="eastAsia" w:ascii="宋体" w:hAnsi="宋体" w:eastAsia="宋体" w:cs="宋体"/>
          <w:sz w:val="24"/>
          <w:szCs w:val="24"/>
        </w:rPr>
        <w:t>。监测数据通过现有工业环网上传至调度中心。</w:t>
      </w:r>
    </w:p>
    <w:p w14:paraId="59E0A3A1">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投标人应提供完整的提升系统监测设备（含传感器、采集设备等），并完成与现有系统的接入集成。具体设备清单如下：</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0"/>
        <w:gridCol w:w="3626"/>
        <w:gridCol w:w="1260"/>
        <w:gridCol w:w="1260"/>
        <w:gridCol w:w="1260"/>
      </w:tblGrid>
      <w:tr w14:paraId="3E36B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C9A343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553CEB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4B2E6BF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57F8C6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D49792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4299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756709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CC74F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集中控制柜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ADA504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1C7714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8CC71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8B8A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D6BEBA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C70FE3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UPS电源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9D89EE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998B9C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09E0EC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6B5D1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F6A85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56A3F4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上位机组态平台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74B2CC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22A839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DA91D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A9D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E01C18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5CED60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工控机含显示器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40FFCC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71376D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5B4361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AF1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77F649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FC1C60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提升机状态监测设备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11B801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DEEE77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D1D24D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4C6D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D4C52D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7DDE27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提升速度监测设备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5688D43">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6A91A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6BE789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1C1B5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8519C7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98EDF0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电动机电流监测设备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9F7DCE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DECE6C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EFF8F0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7148D232">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配套线缆数量以满足系统运行为准，投标人自行在报价中综合考虑。</w:t>
      </w:r>
    </w:p>
    <w:p w14:paraId="3F2B0D17">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问题3：招标文件P41-P42：1.3通风系统监测、1.5排水系统监测，以上两个系统清单中只有传感器，未明确列出上位机和相关的分站或PLC控制柜等采集层设备，请贵方予以明确。</w:t>
      </w:r>
    </w:p>
    <w:p w14:paraId="505BF5DE">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32AF8D94">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通风系统监测</w:t>
      </w:r>
      <w:r>
        <w:rPr>
          <w:rFonts w:hint="eastAsia" w:ascii="宋体" w:hAnsi="宋体" w:eastAsia="宋体" w:cs="宋体"/>
          <w:sz w:val="24"/>
          <w:szCs w:val="24"/>
        </w:rPr>
        <w:t>：利用现有调度中心上位机组态平台及工控机。新增风速、负压、开停传感器就近接入矿山现有监测监控分站或通过环网上传。具体设备清单如下：</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66"/>
        <w:gridCol w:w="3199"/>
        <w:gridCol w:w="1367"/>
        <w:gridCol w:w="1367"/>
        <w:gridCol w:w="1367"/>
      </w:tblGrid>
      <w:tr w14:paraId="51799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62D489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114CA0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01AB695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5BC8D9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752166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BB41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C78B22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FB3BBB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集中控制柜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3C890A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116C69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B439EE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1EC9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11793E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D75718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UPS电源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B5ED3F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24E6A6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0D002D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6D2B2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69C5C9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8F6778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上位机组态平台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6D7718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5203B4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17515F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3CA4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991DF9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AC0E2B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工控机含显示器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AA89B8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AE0498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B918AD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53D78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63808C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F8508D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设备开停传感器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54D2CD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351FEE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6B5AF6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1930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F6F965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FD219F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风速传感器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BFDCCD3">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C2AE63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AC3B1D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2E68B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CB655C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6A57D6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负压传感器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DB2F8A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4BF048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20DDF8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3BB87ACA">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排水系统监测</w:t>
      </w:r>
      <w:r>
        <w:rPr>
          <w:rFonts w:hint="eastAsia" w:ascii="宋体" w:hAnsi="宋体" w:eastAsia="宋体" w:cs="宋体"/>
          <w:sz w:val="24"/>
          <w:szCs w:val="24"/>
        </w:rPr>
        <w:t>：利用现有调度中心上位机组态平台及工控机。水仓水位、水泵开停状态、压力、流量传感器就近接入矿山现有监测监控分站或通过环网上传。具体设备清单如下：</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06"/>
        <w:gridCol w:w="3042"/>
        <w:gridCol w:w="1406"/>
        <w:gridCol w:w="1406"/>
        <w:gridCol w:w="1406"/>
      </w:tblGrid>
      <w:tr w14:paraId="0FD24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81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5B3CD9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755"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4E1FDA5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81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14438E2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81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42E8F4A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81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1DD30D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8AC7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C42D36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E86C1E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集中控制柜</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9214E8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F987FE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D705EF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6ED9C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0896C3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74862F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UPS电源</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9448B9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379BCA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0D8774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6360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D4F9E4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144D20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上位机组态平台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85DC60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0DBF36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12094C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4D072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955A09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6133C9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工控机含显示器</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6018D8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438EF7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D3A1D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利旧</w:t>
            </w:r>
          </w:p>
        </w:tc>
      </w:tr>
      <w:tr w14:paraId="1D0AB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E9376B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83FF45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水仓水位传感器</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BD205F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00F62B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1F29AF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07F5A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5E1722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AF71E2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水泵开停状态传感器</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65C2D7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E7F7DA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276F97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1EF9A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0305CC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FB6D1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排水管压力传感器</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BAE28E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74EC84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C29F32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3E6B2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E229C8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755"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6C5787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排水管流量传感器</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2FE89A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A26D6E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F37575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48CC0F07">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投标人应根据现场实际情况配置必要的采集设备及辅材，确保系统完整运行。</w:t>
      </w:r>
    </w:p>
    <w:p w14:paraId="07BE1DAB">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问题4：招标文件P42</w:t>
      </w:r>
      <w:r>
        <w:rPr>
          <w:rFonts w:hint="eastAsia" w:cs="宋体"/>
          <w:sz w:val="24"/>
          <w:szCs w:val="24"/>
          <w:lang w:eastAsia="zh-CN"/>
        </w:rPr>
        <w:t>，</w:t>
      </w:r>
      <w:r>
        <w:rPr>
          <w:rFonts w:hint="eastAsia" w:ascii="宋体" w:hAnsi="宋体" w:eastAsia="宋体" w:cs="宋体"/>
          <w:sz w:val="24"/>
          <w:szCs w:val="24"/>
        </w:rPr>
        <w:t>1.4供配电系统监测，清单中只标明一套电力监测系统，无详细上位机软件、采集层设备、线缆等需求明细，请明确具体清单数量。</w:t>
      </w:r>
    </w:p>
    <w:p w14:paraId="2740F614">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0614402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供配电系统监测包含</w:t>
      </w:r>
      <w:r>
        <w:rPr>
          <w:rStyle w:val="12"/>
          <w:rFonts w:hint="eastAsia" w:ascii="宋体" w:hAnsi="宋体" w:eastAsia="宋体" w:cs="宋体"/>
          <w:sz w:val="24"/>
          <w:szCs w:val="24"/>
        </w:rPr>
        <w:t>电力监测系统1套</w:t>
      </w:r>
      <w:r>
        <w:rPr>
          <w:rFonts w:hint="eastAsia" w:ascii="宋体" w:hAnsi="宋体" w:eastAsia="宋体" w:cs="宋体"/>
          <w:sz w:val="24"/>
          <w:szCs w:val="24"/>
        </w:rPr>
        <w:t>，具体包括：</w:t>
      </w:r>
    </w:p>
    <w:tbl>
      <w:tblPr>
        <w:tblStyle w:val="1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79"/>
        <w:gridCol w:w="5145"/>
        <w:gridCol w:w="879"/>
        <w:gridCol w:w="881"/>
        <w:gridCol w:w="882"/>
      </w:tblGrid>
      <w:tr w14:paraId="4D49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jc w:val="center"/>
        </w:trPr>
        <w:tc>
          <w:tcPr>
            <w:tcW w:w="507"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CBBDF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967"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4A185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507"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29B73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508"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1A5A3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508"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57C6CE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F37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ADBEF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967"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49E50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电力监测系统（含采集模块、控制模块等）</w:t>
            </w:r>
          </w:p>
        </w:tc>
        <w:tc>
          <w:tcPr>
            <w:tcW w:w="507"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B6AB4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508"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24C85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08"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2AC9F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4641C336">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监测参数包括：总电流</w:t>
      </w:r>
      <w:r>
        <w:rPr>
          <w:rFonts w:hint="eastAsia" w:ascii="宋体" w:hAnsi="宋体" w:eastAsia="宋体" w:cs="宋体"/>
          <w:sz w:val="24"/>
          <w:szCs w:val="24"/>
          <w:lang w:eastAsia="zh-CN"/>
        </w:rPr>
        <w:t>、</w:t>
      </w:r>
      <w:r>
        <w:rPr>
          <w:rFonts w:hint="eastAsia" w:ascii="宋体" w:hAnsi="宋体" w:eastAsia="宋体" w:cs="宋体"/>
          <w:sz w:val="24"/>
          <w:szCs w:val="24"/>
        </w:rPr>
        <w:t>总电压</w:t>
      </w:r>
      <w:r>
        <w:rPr>
          <w:rFonts w:hint="eastAsia" w:ascii="宋体" w:hAnsi="宋体" w:eastAsia="宋体" w:cs="宋体"/>
          <w:sz w:val="24"/>
          <w:szCs w:val="24"/>
          <w:lang w:eastAsia="zh-CN"/>
        </w:rPr>
        <w:t>、</w:t>
      </w:r>
      <w:r>
        <w:rPr>
          <w:rFonts w:hint="eastAsia" w:ascii="宋体" w:hAnsi="宋体" w:eastAsia="宋体" w:cs="宋体"/>
          <w:sz w:val="24"/>
          <w:szCs w:val="24"/>
        </w:rPr>
        <w:t>用电量</w:t>
      </w:r>
      <w:r>
        <w:rPr>
          <w:rFonts w:hint="eastAsia" w:ascii="宋体" w:hAnsi="宋体" w:eastAsia="宋体" w:cs="宋体"/>
          <w:sz w:val="24"/>
          <w:szCs w:val="24"/>
          <w:lang w:eastAsia="zh-CN"/>
        </w:rPr>
        <w:t>。</w:t>
      </w:r>
    </w:p>
    <w:p w14:paraId="44BD5967">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系统功能要求：</w:t>
      </w:r>
    </w:p>
    <w:p w14:paraId="41C72402">
      <w:pPr>
        <w:pStyle w:val="9"/>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after="0"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电气参数实时监测（三相电压、三相电流、功率因数等）</w:t>
      </w:r>
    </w:p>
    <w:p w14:paraId="1212D386">
      <w:pPr>
        <w:pStyle w:val="9"/>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after="0"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配电柜状态监测（合闸/分闸状态）</w:t>
      </w:r>
    </w:p>
    <w:p w14:paraId="48114C0B">
      <w:pPr>
        <w:pStyle w:val="9"/>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after="0"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远程/就地控制功能</w:t>
      </w:r>
    </w:p>
    <w:p w14:paraId="45A024DA">
      <w:pPr>
        <w:pStyle w:val="9"/>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after="0"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人机界面（电力系统动态图展示、曲线绘制、报表功能等）</w:t>
      </w:r>
    </w:p>
    <w:p w14:paraId="74B3631F">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投标人应提供完整的电力监测系统设备（含控制柜、串口服务器、控制模块、采集模块等），完成系统调试并接入调度中心。线缆数量以满足系统运行为准。</w:t>
      </w:r>
    </w:p>
    <w:p w14:paraId="6E03E725">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问题5：招标文件P43矿井工业环网通讯系统，未明确环网系统所需要的井上井下交换机的数量，请贵方予以明确。</w:t>
      </w:r>
    </w:p>
    <w:p w14:paraId="2BBE6FEB">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27E2B2C1">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矿井工业环网通讯系统包括：</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57"/>
        <w:gridCol w:w="4908"/>
        <w:gridCol w:w="936"/>
        <w:gridCol w:w="895"/>
        <w:gridCol w:w="970"/>
      </w:tblGrid>
      <w:tr w14:paraId="103C6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52"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FD0010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83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C04164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540"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0B61F54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516"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3D4C16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559"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C612C1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CAA0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52"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2B4E55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83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E0B909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地面核心交换机（支持4万兆光口+8千兆光电复用口+16千兆电口）</w:t>
            </w:r>
          </w:p>
        </w:tc>
        <w:tc>
          <w:tcPr>
            <w:tcW w:w="54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2F950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51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B2028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59"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FC006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7ABA3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52"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C654F8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83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BF833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矿用隔爆兼本安型万兆工业以太环网交换机</w:t>
            </w:r>
          </w:p>
        </w:tc>
        <w:tc>
          <w:tcPr>
            <w:tcW w:w="540"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EAAC8A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51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285839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若干</w:t>
            </w:r>
          </w:p>
        </w:tc>
        <w:tc>
          <w:tcPr>
            <w:tcW w:w="559"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5A41D0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5674327F">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投标人应根据矿山井下实际网络拓扑需求配置足够数量的井下环网交换机，确保：</w:t>
      </w:r>
    </w:p>
    <w:p w14:paraId="41284507">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形成可靠的工业环网冗余架构</w:t>
      </w:r>
    </w:p>
    <w:p w14:paraId="0E6913B3">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环网自愈时间≤50ms</w:t>
      </w:r>
    </w:p>
    <w:p w14:paraId="01C37A65">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充分满足各子系统数据传输带宽需求</w:t>
      </w:r>
    </w:p>
    <w:p w14:paraId="0C3EF1D3">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井下交换机具体数量由投标人根据现场踏勘确定，以满足系统完整运行为准。</w:t>
      </w:r>
    </w:p>
    <w:p w14:paraId="208AFDF0">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问题6：招标文件P44：地表沉降监测系统，招标文件只标明200m*200m的范围，未明确系统的详细清单，请贵方予以明确。</w:t>
      </w:r>
    </w:p>
    <w:p w14:paraId="271A9E53">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24B24109">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地表沉降监测系统包括：</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45"/>
        <w:gridCol w:w="4483"/>
        <w:gridCol w:w="1046"/>
        <w:gridCol w:w="1046"/>
        <w:gridCol w:w="1046"/>
      </w:tblGrid>
      <w:tr w14:paraId="6C12C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1575A03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B0757E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59214B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A118F6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DF9DDD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734D0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7F8C36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C47118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GNSS接收机（含天线、天线罩）</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40E2AD3">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984088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4DD132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51477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31D721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F8EB53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强制对中器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9D4CB9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DEB78C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BD583B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5954E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B9F80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FAE465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射频通信线缆</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531B20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8FFB40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0F0696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1C43D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BD421B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3B8097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设备机箱</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5561C3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1C210D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0C0462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7A52C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3C7E01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F29D44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配套采集软件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BFEE2E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8CC5A7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1677DC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15D1D3C7">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布设原则：在采区地表按200m×200m设置沉降监测点。上位机利用调度中心现有工控机。</w:t>
      </w:r>
    </w:p>
    <w:p w14:paraId="7F7A6E8B">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问题7：招标文件P44：地压监测系统，招标文件未明确系统的详细清单，请贵方予以明确。</w:t>
      </w:r>
    </w:p>
    <w:p w14:paraId="399AB4DB">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3EE1D204">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地压监测系统包括：</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11"/>
        <w:gridCol w:w="5090"/>
        <w:gridCol w:w="787"/>
        <w:gridCol w:w="839"/>
        <w:gridCol w:w="939"/>
      </w:tblGrid>
      <w:tr w14:paraId="3472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83"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433E521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936"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830D4A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45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048470A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48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2E5F16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54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7F54AFC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56F89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C3864E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93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6F0128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地压监测系统（含锚杆应力计、围岩位移传感器、钻孔应力传感器、数据采集分站等）</w:t>
            </w:r>
          </w:p>
        </w:tc>
        <w:tc>
          <w:tcPr>
            <w:tcW w:w="45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AE5BCD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批</w:t>
            </w:r>
          </w:p>
        </w:tc>
        <w:tc>
          <w:tcPr>
            <w:tcW w:w="48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C6B438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EFC71C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7846E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DF4C3B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936"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D0B64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配套分析软件</w:t>
            </w:r>
          </w:p>
        </w:tc>
        <w:tc>
          <w:tcPr>
            <w:tcW w:w="45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CA668F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C219F7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0651F4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1F0661AD">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系统满足《金属非金属矿山安全规程》（GB16423-2020）及《金属非金属地下矿山监测监控系统建设规范》（AQ 2023-2011）要求，可实时监测锚杆（索）应力、围岩位移、钻孔应力等参数，具备实时曲线查询、历史曲线查询、分级报警、报警记录及输出功能。上位机利用调度中心现有工控机。</w:t>
      </w:r>
    </w:p>
    <w:p w14:paraId="434F0A0C">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问题8</w:t>
      </w:r>
      <w:r>
        <w:rPr>
          <w:rFonts w:hint="eastAsia" w:cs="宋体"/>
          <w:sz w:val="24"/>
          <w:szCs w:val="24"/>
          <w:lang w:eastAsia="zh-CN"/>
        </w:rPr>
        <w:t>：</w:t>
      </w:r>
      <w:r>
        <w:rPr>
          <w:rFonts w:hint="eastAsia" w:ascii="宋体" w:hAnsi="宋体" w:eastAsia="宋体" w:cs="宋体"/>
          <w:sz w:val="24"/>
          <w:szCs w:val="24"/>
        </w:rPr>
        <w:t>招标文件P46：“井下人员定位子系统”实施方案清单中，未列出涉及的声光报警器、地面交换机、人员唯一性检测装置以及通讯线缆、通讯光缆、接线盒等辅材，请贵方予以明确。</w:t>
      </w:r>
    </w:p>
    <w:p w14:paraId="44847289">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25AD5237">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人员定位子系统为</w:t>
      </w:r>
      <w:r>
        <w:rPr>
          <w:rStyle w:val="12"/>
          <w:rFonts w:hint="eastAsia" w:ascii="宋体" w:hAnsi="宋体" w:eastAsia="宋体" w:cs="宋体"/>
          <w:sz w:val="24"/>
          <w:szCs w:val="24"/>
        </w:rPr>
        <w:t>新建精准人员定位系统</w:t>
      </w:r>
      <w:r>
        <w:rPr>
          <w:rFonts w:hint="eastAsia" w:ascii="宋体" w:hAnsi="宋体" w:eastAsia="宋体" w:cs="宋体"/>
          <w:sz w:val="24"/>
          <w:szCs w:val="24"/>
        </w:rPr>
        <w:t>（UWB技术）</w:t>
      </w:r>
      <w:r>
        <w:rPr>
          <w:rFonts w:hint="eastAsia" w:ascii="宋体" w:hAnsi="宋体" w:eastAsia="宋体" w:cs="宋体"/>
          <w:sz w:val="24"/>
          <w:szCs w:val="24"/>
          <w:lang w:eastAsia="zh-CN"/>
        </w:rPr>
        <w:t>，</w:t>
      </w:r>
      <w:r>
        <w:rPr>
          <w:rFonts w:hint="eastAsia" w:ascii="宋体" w:hAnsi="宋体" w:eastAsia="宋体" w:cs="宋体"/>
          <w:sz w:val="24"/>
          <w:szCs w:val="24"/>
        </w:rPr>
        <w:t>设备包括：</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11"/>
        <w:gridCol w:w="3421"/>
        <w:gridCol w:w="1311"/>
        <w:gridCol w:w="1311"/>
        <w:gridCol w:w="1312"/>
      </w:tblGrid>
      <w:tr w14:paraId="71AC5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31C6C6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619486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D8ED6E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D7E3B2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5E072F5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49F94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146713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636DDE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上位机（含软件）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A8D504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65AFC4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B9667B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6D6DA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742D7F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6E9E70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传输分站</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E32640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AEA067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404B46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7B1B5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84BECC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A81496">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读卡器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C13AAD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5573AE3">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A5E40F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77179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30D9ED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506638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标识卡</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FE04E34">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430756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1EFCEC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44CD5884">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设备技术指标要求详见招标文件第五章。</w:t>
      </w:r>
    </w:p>
    <w:p w14:paraId="51CA280A">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投标人应根据系统功能需要配置声光报警器、交换机等配套设备。</w:t>
      </w:r>
      <w:r>
        <w:rPr>
          <w:rStyle w:val="12"/>
          <w:rFonts w:hint="eastAsia" w:ascii="宋体" w:hAnsi="宋体" w:eastAsia="宋体" w:cs="宋体"/>
          <w:sz w:val="24"/>
          <w:szCs w:val="24"/>
        </w:rPr>
        <w:t>人员唯一性检测装置未列入招标文件必配清单</w:t>
      </w:r>
      <w:r>
        <w:rPr>
          <w:rFonts w:hint="eastAsia" w:ascii="宋体" w:hAnsi="宋体" w:eastAsia="宋体" w:cs="宋体"/>
          <w:sz w:val="24"/>
          <w:szCs w:val="24"/>
        </w:rPr>
        <w:t>，投标人可根据实际需要选配。线缆数量以满足系统完整运行为准。</w:t>
      </w:r>
    </w:p>
    <w:p w14:paraId="6B7D4068">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问题9：招标文件P46：“矿山视频监控子系统 ”实施方案，未列出系统所需的线缆、通讯光缆、接线盒等辅材，请贵方予以明确。</w:t>
      </w:r>
    </w:p>
    <w:p w14:paraId="066EE076">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60E24BE5">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视频监控子系统</w:t>
      </w:r>
      <w:r>
        <w:rPr>
          <w:rStyle w:val="12"/>
          <w:rFonts w:hint="eastAsia" w:ascii="宋体" w:hAnsi="宋体" w:eastAsia="宋体" w:cs="宋体"/>
          <w:sz w:val="24"/>
          <w:szCs w:val="24"/>
        </w:rPr>
        <w:t>利用现有18路摄像机和部分线缆</w:t>
      </w:r>
      <w:r>
        <w:rPr>
          <w:rFonts w:hint="eastAsia" w:ascii="宋体" w:hAnsi="宋体" w:eastAsia="宋体" w:cs="宋体"/>
          <w:sz w:val="24"/>
          <w:szCs w:val="24"/>
        </w:rPr>
        <w:t>，新增22路摄像机。具体设备清单如下：</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68"/>
        <w:gridCol w:w="3991"/>
        <w:gridCol w:w="1169"/>
        <w:gridCol w:w="1169"/>
        <w:gridCol w:w="1169"/>
      </w:tblGrid>
      <w:tr w14:paraId="6DCE6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D56DB6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614E33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0458377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492B28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3400FDC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备注</w:t>
            </w:r>
          </w:p>
        </w:tc>
      </w:tr>
      <w:tr w14:paraId="1FEF9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9070C1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84B7AA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可移动式视频监控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4D5162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F12C61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F510E5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1DB6A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307476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084D23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视频监控（矿用一般型）</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875261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58487A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74FBB73">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4D502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930666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E0C3FC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AI智能服务器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F39CC6B">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6E4FE2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8B0757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0BF98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7544C1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CD3507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硬盘录像机（NVR）</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57E021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44D804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3D28F0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r w14:paraId="4EB0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33377F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0D696C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16TB硬盘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D45967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0D71F3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6AADE3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Style w:val="12"/>
                <w:rFonts w:hint="eastAsia" w:ascii="宋体" w:hAnsi="宋体" w:eastAsia="宋体" w:cs="宋体"/>
                <w:sz w:val="21"/>
                <w:szCs w:val="21"/>
              </w:rPr>
              <w:t>新增</w:t>
            </w:r>
          </w:p>
        </w:tc>
      </w:tr>
    </w:tbl>
    <w:p w14:paraId="1DB0602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新增线缆要求：</w:t>
      </w:r>
    </w:p>
    <w:p w14:paraId="271B1A82">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采用矿用阻燃铠装光缆（单模四芯）</w:t>
      </w:r>
    </w:p>
    <w:p w14:paraId="6F2481A8">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供电电缆采用矿用阻燃电缆</w:t>
      </w:r>
    </w:p>
    <w:p w14:paraId="509CC544">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配备UPS备用电源</w:t>
      </w:r>
    </w:p>
    <w:p w14:paraId="3646A7A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具体数量以现场实际施工需求为准，投标人自行在报价中综合考虑。</w:t>
      </w:r>
    </w:p>
    <w:p w14:paraId="0F29F150">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问题10：招标文件P66:监控中心室内升级改造按需施工，请贵方明确出具体施工改造内容。</w:t>
      </w:r>
    </w:p>
    <w:p w14:paraId="0971EA31">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3BD8FD5C">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监控中心室内升级改造包括：</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74"/>
        <w:gridCol w:w="2693"/>
        <w:gridCol w:w="5099"/>
      </w:tblGrid>
      <w:tr w14:paraId="0719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04"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620BB4B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553"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5C72468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改造内容</w:t>
            </w:r>
          </w:p>
        </w:tc>
        <w:tc>
          <w:tcPr>
            <w:tcW w:w="2941" w:type="pct"/>
            <w:tcBorders>
              <w:top w:val="single" w:color="000000" w:sz="4" w:space="0"/>
              <w:left w:val="single" w:color="000000" w:sz="4" w:space="0"/>
              <w:bottom w:val="single" w:color="000000" w:sz="4" w:space="0"/>
              <w:right w:val="single" w:color="000000" w:sz="4" w:space="0"/>
            </w:tcBorders>
            <w:shd w:val="clear" w:color="auto" w:fill="F2F2F2"/>
            <w:tcMar>
              <w:top w:w="120" w:type="dxa"/>
              <w:left w:w="180" w:type="dxa"/>
              <w:bottom w:w="120" w:type="dxa"/>
              <w:right w:w="180" w:type="dxa"/>
            </w:tcMar>
            <w:vAlign w:val="center"/>
          </w:tcPr>
          <w:p w14:paraId="292CF852">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技术要求</w:t>
            </w:r>
          </w:p>
        </w:tc>
      </w:tr>
      <w:tr w14:paraId="105A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7346D6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012A92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机房防尘防静电处理</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BDC3BA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墙面、地面防尘防静电处理，铺设防静电地板</w:t>
            </w:r>
          </w:p>
        </w:tc>
      </w:tr>
      <w:tr w14:paraId="077B8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F13F948">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DC5F6F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独立空调系统</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365BC7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保持温度20℃-25℃、湿度40%-60%</w:t>
            </w:r>
          </w:p>
        </w:tc>
      </w:tr>
      <w:tr w14:paraId="21DC9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6C916A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767494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LED拼接大屏显示系统</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2376FD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65英寸单元，3×3拼接，含矩阵</w:t>
            </w:r>
          </w:p>
        </w:tc>
      </w:tr>
      <w:tr w14:paraId="41D27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11C436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79A67ECD">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KVM切换器</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4C288D5">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实现多台服务器、工作站的集中控制</w:t>
            </w:r>
          </w:p>
        </w:tc>
      </w:tr>
      <w:tr w14:paraId="080B4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C8E9627">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447C087E">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服务器集群部署</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07FFEFF9">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满足多路视频实时解码、存储需求</w:t>
            </w:r>
          </w:p>
        </w:tc>
      </w:tr>
      <w:tr w14:paraId="0054A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3FFDDD0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5B05F801">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NVR阵列及存储扩容</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6B06C18C">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视频数据保存90天以上；3副本+灾备架构</w:t>
            </w:r>
          </w:p>
        </w:tc>
      </w:tr>
      <w:tr w14:paraId="001E6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4"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11E34A90">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553"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885EAEF">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UPS配电系统</w:t>
            </w:r>
          </w:p>
        </w:tc>
        <w:tc>
          <w:tcPr>
            <w:tcW w:w="2941" w:type="pct"/>
            <w:tcBorders>
              <w:top w:val="single" w:color="000000" w:sz="4" w:space="0"/>
              <w:left w:val="single" w:color="000000" w:sz="4" w:space="0"/>
              <w:bottom w:val="single" w:color="000000" w:sz="4" w:space="0"/>
              <w:right w:val="single" w:color="000000" w:sz="4" w:space="0"/>
            </w:tcBorders>
            <w:shd w:val="clear" w:color="auto" w:fill="auto"/>
            <w:tcMar>
              <w:top w:w="120" w:type="dxa"/>
              <w:left w:w="180" w:type="dxa"/>
              <w:bottom w:w="120" w:type="dxa"/>
              <w:right w:w="180" w:type="dxa"/>
            </w:tcMar>
            <w:vAlign w:val="center"/>
          </w:tcPr>
          <w:p w14:paraId="269A84BA">
            <w:pPr>
              <w:keepNext w:val="0"/>
              <w:keepLines w:val="0"/>
              <w:pageBreakBefore w:val="0"/>
              <w:widowControl w:val="0"/>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确保设备不间断供电</w:t>
            </w:r>
          </w:p>
        </w:tc>
      </w:tr>
    </w:tbl>
    <w:p w14:paraId="3F95DF8D">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问题11：招标文件P66:拼接屏，请贵方明确拼接大屏数量。</w:t>
      </w:r>
    </w:p>
    <w:p w14:paraId="2E75D21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058E295C">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拼接大屏采用</w:t>
      </w:r>
      <w:r>
        <w:rPr>
          <w:rStyle w:val="12"/>
          <w:rFonts w:hint="eastAsia" w:ascii="宋体" w:hAnsi="宋体" w:eastAsia="宋体" w:cs="宋体"/>
          <w:sz w:val="24"/>
          <w:szCs w:val="24"/>
        </w:rPr>
        <w:t>65英寸单元，3×3块拼接</w:t>
      </w:r>
      <w:r>
        <w:rPr>
          <w:rFonts w:hint="eastAsia" w:ascii="宋体" w:hAnsi="宋体" w:eastAsia="宋体" w:cs="宋体"/>
          <w:sz w:val="24"/>
          <w:szCs w:val="24"/>
        </w:rPr>
        <w:t>（共9块）。</w:t>
      </w:r>
    </w:p>
    <w:p w14:paraId="2B92A67F">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技术参数要求详见招标文件第五章。</w:t>
      </w:r>
    </w:p>
    <w:p w14:paraId="78FC4F16">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问题12：鹿鸣金矿尾矿库面积</w:t>
      </w:r>
    </w:p>
    <w:p w14:paraId="7FE2C636">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答复：</w:t>
      </w:r>
    </w:p>
    <w:p w14:paraId="09C7AD8A">
      <w:pPr>
        <w:pStyle w:val="9"/>
        <w:keepNext w:val="0"/>
        <w:keepLines w:val="0"/>
        <w:pageBreakBefore w:val="0"/>
        <w:widowControl w:val="0"/>
        <w:suppressLineNumbers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根据实施方案，鹿鸣金矿尾矿库</w:t>
      </w:r>
      <w:r>
        <w:rPr>
          <w:rStyle w:val="12"/>
          <w:rFonts w:hint="eastAsia" w:ascii="宋体" w:hAnsi="宋体" w:eastAsia="宋体" w:cs="宋体"/>
          <w:sz w:val="24"/>
          <w:szCs w:val="24"/>
        </w:rPr>
        <w:t>库区汇水面积0.1km²</w:t>
      </w:r>
      <w:r>
        <w:rPr>
          <w:rFonts w:hint="eastAsia" w:ascii="宋体" w:hAnsi="宋体" w:eastAsia="宋体" w:cs="宋体"/>
          <w:sz w:val="24"/>
          <w:szCs w:val="24"/>
        </w:rPr>
        <w:t>。尾矿库设计总库容93.81×10⁴m³，总坝高42.5m。</w:t>
      </w:r>
    </w:p>
    <w:p w14:paraId="0C07A6C7">
      <w:pPr>
        <w:pStyle w:val="4"/>
        <w:keepNext w:val="0"/>
        <w:keepLines w:val="0"/>
        <w:pageBreakBefore w:val="0"/>
        <w:widowControl/>
        <w:suppressLineNumbers w:val="0"/>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sz w:val="24"/>
          <w:szCs w:val="24"/>
        </w:rPr>
      </w:pPr>
      <w:bookmarkStart w:id="0" w:name="_GoBack"/>
      <w:r>
        <w:rPr>
          <w:rFonts w:hint="eastAsia" w:ascii="宋体" w:hAnsi="宋体" w:eastAsia="宋体" w:cs="宋体"/>
          <w:sz w:val="24"/>
          <w:szCs w:val="24"/>
        </w:rPr>
        <w:t>补充说明</w:t>
      </w:r>
    </w:p>
    <w:p w14:paraId="7CF940BC">
      <w:pPr>
        <w:pStyle w:val="9"/>
        <w:keepNext w:val="0"/>
        <w:keepLines w:val="0"/>
        <w:pageBreakBefore w:val="0"/>
        <w:widowControl/>
        <w:numPr>
          <w:ilvl w:val="0"/>
          <w:numId w:val="4"/>
        </w:numPr>
        <w:suppressLineNumbers w:val="0"/>
        <w:kinsoku/>
        <w:wordWrap/>
        <w:overflowPunct/>
        <w:topLinePunct w:val="0"/>
        <w:autoSpaceDE/>
        <w:autoSpaceDN/>
        <w:bidi w:val="0"/>
        <w:adjustRightInd/>
        <w:snapToGrid/>
        <w:spacing w:before="0" w:after="0" w:line="360" w:lineRule="auto"/>
        <w:ind w:left="0" w:leftChars="0"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关于辅材数量</w:t>
      </w:r>
      <w:r>
        <w:rPr>
          <w:rFonts w:hint="eastAsia" w:ascii="宋体" w:hAnsi="宋体" w:eastAsia="宋体" w:cs="宋体"/>
          <w:sz w:val="24"/>
          <w:szCs w:val="24"/>
        </w:rPr>
        <w:t>：招标文件中通讯线缆、光缆、接线盒等辅材的数量，因各投标人技术方案和现场实施路径存在差异，无法统一限定具体数量。投标人应根据各自技术方案，结合现场实际情况，以满足系统完整、可靠运行为原则自行确定，并在投标报价中综合考虑。</w:t>
      </w:r>
    </w:p>
    <w:p w14:paraId="3EAA2BCA">
      <w:pPr>
        <w:pStyle w:val="9"/>
        <w:keepNext w:val="0"/>
        <w:keepLines w:val="0"/>
        <w:pageBreakBefore w:val="0"/>
        <w:widowControl/>
        <w:numPr>
          <w:ilvl w:val="0"/>
          <w:numId w:val="4"/>
        </w:numPr>
        <w:suppressLineNumbers w:val="0"/>
        <w:kinsoku/>
        <w:wordWrap/>
        <w:overflowPunct/>
        <w:topLinePunct w:val="0"/>
        <w:autoSpaceDE/>
        <w:autoSpaceDN/>
        <w:bidi w:val="0"/>
        <w:adjustRightInd/>
        <w:snapToGrid/>
        <w:spacing w:before="0" w:after="0" w:line="360" w:lineRule="auto"/>
        <w:ind w:left="0" w:leftChars="0" w:firstLine="482" w:firstLineChars="200"/>
        <w:jc w:val="both"/>
        <w:textAlignment w:val="auto"/>
        <w:rPr>
          <w:rFonts w:hint="eastAsia" w:ascii="宋体" w:hAnsi="宋体" w:eastAsia="宋体" w:cs="宋体"/>
          <w:sz w:val="24"/>
          <w:szCs w:val="24"/>
        </w:rPr>
      </w:pPr>
      <w:r>
        <w:rPr>
          <w:rStyle w:val="12"/>
          <w:rFonts w:hint="eastAsia" w:ascii="宋体" w:hAnsi="宋体" w:eastAsia="宋体" w:cs="宋体"/>
          <w:sz w:val="24"/>
          <w:szCs w:val="24"/>
        </w:rPr>
        <w:t>关于利旧设备</w:t>
      </w:r>
      <w:r>
        <w:rPr>
          <w:rFonts w:hint="eastAsia" w:ascii="宋体" w:hAnsi="宋体" w:eastAsia="宋体" w:cs="宋体"/>
          <w:sz w:val="24"/>
          <w:szCs w:val="24"/>
        </w:rPr>
        <w:t>：投标人应充分调研现有设备状况，确保新增设备与利旧设备兼容，并负责完成全部系统的集成调试工作，保证系统整体性能达到设计要求。</w:t>
      </w:r>
    </w:p>
    <w:bookmarkEnd w:id="0"/>
    <w:p w14:paraId="5E7E8936">
      <w:pPr>
        <w:pStyle w:val="9"/>
        <w:keepNext w:val="0"/>
        <w:keepLines w:val="0"/>
        <w:pageBreakBefore w:val="0"/>
        <w:widowControl/>
        <w:suppressLineNumbers w:val="0"/>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sz w:val="24"/>
          <w:szCs w:val="24"/>
        </w:rPr>
      </w:pP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8113EA"/>
    <w:multiLevelType w:val="singleLevel"/>
    <w:tmpl w:val="888113EA"/>
    <w:lvl w:ilvl="0" w:tentative="0">
      <w:start w:val="1"/>
      <w:numFmt w:val="decimal"/>
      <w:suff w:val="nothing"/>
      <w:lvlText w:val="%1．"/>
      <w:lvlJc w:val="left"/>
      <w:pPr>
        <w:ind w:left="0" w:firstLine="400"/>
      </w:pPr>
      <w:rPr>
        <w:rFonts w:hint="default"/>
      </w:rPr>
    </w:lvl>
  </w:abstractNum>
  <w:abstractNum w:abstractNumId="1">
    <w:nsid w:val="8EAB6BF0"/>
    <w:multiLevelType w:val="singleLevel"/>
    <w:tmpl w:val="8EAB6BF0"/>
    <w:lvl w:ilvl="0" w:tentative="0">
      <w:start w:val="1"/>
      <w:numFmt w:val="decimal"/>
      <w:suff w:val="nothing"/>
      <w:lvlText w:val="%1．"/>
      <w:lvlJc w:val="left"/>
      <w:pPr>
        <w:ind w:left="0" w:firstLine="400"/>
      </w:pPr>
      <w:rPr>
        <w:rFonts w:hint="default"/>
      </w:rPr>
    </w:lvl>
  </w:abstractNum>
  <w:abstractNum w:abstractNumId="2">
    <w:nsid w:val="E54B5B9E"/>
    <w:multiLevelType w:val="singleLevel"/>
    <w:tmpl w:val="E54B5B9E"/>
    <w:lvl w:ilvl="0" w:tentative="0">
      <w:start w:val="1"/>
      <w:numFmt w:val="decimal"/>
      <w:suff w:val="nothing"/>
      <w:lvlText w:val="%1．"/>
      <w:lvlJc w:val="left"/>
      <w:pPr>
        <w:ind w:left="0" w:firstLine="400"/>
      </w:pPr>
      <w:rPr>
        <w:rFonts w:hint="default"/>
      </w:rPr>
    </w:lvl>
  </w:abstractNum>
  <w:abstractNum w:abstractNumId="3">
    <w:nsid w:val="7EBCCED2"/>
    <w:multiLevelType w:val="singleLevel"/>
    <w:tmpl w:val="7EBCCED2"/>
    <w:lvl w:ilvl="0" w:tentative="0">
      <w:start w:val="1"/>
      <w:numFmt w:val="decimal"/>
      <w:suff w:val="nothing"/>
      <w:lvlText w:val="%1．"/>
      <w:lvlJc w:val="left"/>
      <w:pPr>
        <w:ind w:left="0" w:firstLine="4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58480D"/>
    <w:rsid w:val="465436A2"/>
    <w:rsid w:val="469B4CEC"/>
    <w:rsid w:val="661029C7"/>
    <w:rsid w:val="69EF6E4B"/>
    <w:rsid w:val="7CF77F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1"/>
    <w:basedOn w:val="1"/>
    <w:next w:val="1"/>
    <w:qFormat/>
    <w:uiPriority w:val="0"/>
    <w:pPr>
      <w:spacing w:before="240" w:beforeAutospacing="0" w:after="120" w:afterAutospacing="0"/>
      <w:ind w:left="0" w:right="0"/>
      <w:jc w:val="left"/>
    </w:pPr>
    <w:rPr>
      <w:rFonts w:hint="eastAsia" w:ascii="宋体" w:hAnsi="宋体" w:eastAsia="宋体" w:cs="宋体"/>
      <w:b/>
      <w:bCs/>
      <w:kern w:val="44"/>
      <w:sz w:val="42"/>
      <w:szCs w:val="42"/>
      <w:lang w:val="en-US" w:eastAsia="zh-CN" w:bidi="ar"/>
    </w:rPr>
  </w:style>
  <w:style w:type="paragraph" w:styleId="3">
    <w:name w:val="heading 2"/>
    <w:basedOn w:val="1"/>
    <w:next w:val="1"/>
    <w:semiHidden/>
    <w:unhideWhenUsed/>
    <w:qFormat/>
    <w:uiPriority w:val="0"/>
    <w:pPr>
      <w:spacing w:before="240" w:beforeAutospacing="0" w:after="120" w:afterAutospacing="0"/>
      <w:ind w:left="0" w:right="0"/>
      <w:jc w:val="left"/>
    </w:pPr>
    <w:rPr>
      <w:rFonts w:hint="eastAsia" w:ascii="宋体" w:hAnsi="宋体" w:eastAsia="宋体" w:cs="宋体"/>
      <w:b/>
      <w:bCs/>
      <w:color w:val="000000" w:themeColor="text1"/>
      <w:kern w:val="0"/>
      <w:sz w:val="31"/>
      <w:szCs w:val="31"/>
      <w:lang w:val="en-US" w:eastAsia="zh-CN" w:bidi="ar"/>
      <w14:textFill>
        <w14:solidFill>
          <w14:schemeClr w14:val="tx1"/>
        </w14:solidFill>
      </w14:textFill>
    </w:rPr>
  </w:style>
  <w:style w:type="paragraph" w:styleId="4">
    <w:name w:val="heading 3"/>
    <w:basedOn w:val="1"/>
    <w:next w:val="1"/>
    <w:semiHidden/>
    <w:unhideWhenUsed/>
    <w:qFormat/>
    <w:uiPriority w:val="0"/>
    <w:pPr>
      <w:spacing w:before="240" w:beforeAutospacing="0" w:after="120" w:afterAutospacing="0"/>
      <w:ind w:left="0" w:right="0"/>
      <w:jc w:val="left"/>
    </w:pPr>
    <w:rPr>
      <w:rFonts w:hint="eastAsia" w:ascii="宋体" w:hAnsi="宋体" w:eastAsia="宋体" w:cs="宋体"/>
      <w:b/>
      <w:bCs/>
      <w:kern w:val="0"/>
      <w:sz w:val="24"/>
      <w:szCs w:val="24"/>
      <w:lang w:val="en-US" w:eastAsia="zh-CN" w:bidi="ar"/>
    </w:rPr>
  </w:style>
  <w:style w:type="paragraph" w:styleId="5">
    <w:name w:val="heading 4"/>
    <w:basedOn w:val="1"/>
    <w:next w:val="1"/>
    <w:semiHidden/>
    <w:unhideWhenUsed/>
    <w:qFormat/>
    <w:uiPriority w:val="0"/>
    <w:pPr>
      <w:spacing w:before="240" w:beforeAutospacing="0" w:after="120" w:afterAutospacing="0"/>
      <w:ind w:left="0" w:right="0"/>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spacing w:before="240" w:beforeAutospacing="0" w:after="120" w:afterAutospacing="0"/>
      <w:ind w:left="0" w:right="0"/>
      <w:jc w:val="left"/>
    </w:pPr>
    <w:rPr>
      <w:rFonts w:hint="eastAsia" w:ascii="宋体" w:hAnsi="宋体" w:eastAsia="宋体" w:cs="宋体"/>
      <w:b/>
      <w:bCs/>
      <w:kern w:val="0"/>
      <w:sz w:val="20"/>
      <w:szCs w:val="20"/>
      <w:lang w:val="en-US" w:eastAsia="zh-CN" w:bidi="ar"/>
    </w:rPr>
  </w:style>
  <w:style w:type="paragraph" w:styleId="7">
    <w:name w:val="heading 6"/>
    <w:basedOn w:val="1"/>
    <w:next w:val="1"/>
    <w:semiHidden/>
    <w:unhideWhenUsed/>
    <w:qFormat/>
    <w:uiPriority w:val="0"/>
    <w:pPr>
      <w:spacing w:before="240" w:beforeAutospacing="0" w:after="120" w:afterAutospacing="0"/>
      <w:ind w:left="0" w:right="0"/>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HTML Preformatted"/>
    <w:basedOn w:val="1"/>
    <w:uiPriority w:val="0"/>
    <w:pPr>
      <w:pBdr>
        <w:top w:val="single" w:color="DDDDDD" w:sz="4" w:space="6"/>
        <w:left w:val="single" w:color="DDDDDD" w:sz="4" w:space="6"/>
        <w:bottom w:val="single" w:color="DDDDDD" w:sz="4" w:space="6"/>
        <w:right w:val="single" w:color="DDDDDD" w:sz="4" w:space="6"/>
      </w:pBdr>
      <w:shd w:val="clear"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beforeAutospacing="0" w:after="180" w:afterAutospacing="0"/>
      <w:ind w:left="0" w:right="0"/>
      <w:jc w:val="left"/>
    </w:pPr>
    <w:rPr>
      <w:rFonts w:hint="eastAsia" w:ascii="宋体" w:hAnsi="宋体" w:eastAsia="宋体" w:cs="宋体"/>
      <w:kern w:val="0"/>
      <w:sz w:val="24"/>
      <w:szCs w:val="24"/>
      <w:lang w:val="en-US" w:eastAsia="zh-CN" w:bidi="ar"/>
    </w:rPr>
  </w:style>
  <w:style w:type="paragraph" w:styleId="9">
    <w:name w:val="Normal (Web)"/>
    <w:basedOn w:val="1"/>
    <w:uiPriority w:val="0"/>
    <w:pPr>
      <w:spacing w:before="120" w:beforeAutospacing="0" w:after="120" w:afterAutospacing="0"/>
      <w:ind w:left="0" w:right="0"/>
      <w:jc w:val="left"/>
    </w:pPr>
    <w:rPr>
      <w:kern w:val="0"/>
      <w:sz w:val="24"/>
      <w:lang w:val="en-US" w:eastAsia="zh-CN" w:bidi="ar"/>
    </w:rPr>
  </w:style>
  <w:style w:type="character" w:styleId="12">
    <w:name w:val="Strong"/>
    <w:basedOn w:val="11"/>
    <w:qFormat/>
    <w:uiPriority w:val="0"/>
    <w:rPr>
      <w:b/>
    </w:rPr>
  </w:style>
  <w:style w:type="character" w:styleId="13">
    <w:name w:val="Emphasis"/>
    <w:basedOn w:val="11"/>
    <w:qFormat/>
    <w:uiPriority w:val="0"/>
    <w:rPr>
      <w:i/>
    </w:rPr>
  </w:style>
  <w:style w:type="character" w:styleId="14">
    <w:name w:val="HTML Code"/>
    <w:basedOn w:val="11"/>
    <w:qFormat/>
    <w:uiPriority w:val="0"/>
    <w:rPr>
      <w:rFonts w:hint="default" w:ascii="Courier New" w:hAnsi="Courier New" w:cs="Courier New"/>
      <w:sz w:val="20"/>
      <w:shd w:val="clear" w:fill="F8F8F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3560</Words>
  <Characters>3789</Characters>
  <TotalTime>429</TotalTime>
  <ScaleCrop>false</ScaleCrop>
  <LinksUpToDate>false</LinksUpToDate>
  <CharactersWithSpaces>3791</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2026-08-26T16:45:00Z</dcterms:created>
  <dc:creator>WULONG</dc:creator>
  <cp:lastModifiedBy>元芳才不是袁方呢。</cp:lastModifiedBy>
  <dcterms:modified xsi:type="dcterms:W3CDTF">2026-08-28T06:48:41Z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eyJoZGlkIjoiOWQ1MWQ2MmI4ZTkzMjhlNGI2NmYwMmYxZDMxODRmMzAiLCJ1c2VySWQiOiI0MzMwNzc4MzkifQ==</vt:lpwstr>
  </property>
  <property fmtid="{D5CDD505-2E9C-101B-9397-08002B2CF9AE}" pid="3" name="KSOProductBuildVer">
    <vt:lpwstr>2052-12.1.0.28043</vt:lpwstr>
  </property>
  <property fmtid="{D5CDD505-2E9C-101B-9397-08002B2CF9AE}" pid="4" name="ICV">
    <vt:lpwstr>FC192674AE0E43BFBD0F32DF1BA56633_13</vt:lpwstr>
  </property>
</Properties>
</file>