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5A798">
      <w:pPr>
        <w:pageBreakBefore w:val="0"/>
        <w:kinsoku/>
        <w:overflowPunct/>
        <w:topLinePunct w:val="0"/>
        <w:bidi w:val="0"/>
        <w:spacing w:beforeAutospacing="0" w:afterAutospacing="0" w:line="440" w:lineRule="exact"/>
        <w:ind w:left="0" w:leftChars="0" w:right="0"/>
        <w:jc w:val="center"/>
        <w:rPr>
          <w:rFonts w:hint="eastAsia" w:ascii="宋体" w:hAnsi="宋体"/>
          <w:b/>
          <w:color w:val="auto"/>
          <w:sz w:val="32"/>
          <w:szCs w:val="32"/>
          <w:highlight w:val="none"/>
        </w:rPr>
      </w:pPr>
      <w:r>
        <w:rPr>
          <w:rFonts w:hint="eastAsia" w:ascii="宋体" w:hAnsi="宋体"/>
          <w:b/>
          <w:color w:val="auto"/>
          <w:sz w:val="32"/>
          <w:szCs w:val="32"/>
          <w:highlight w:val="none"/>
        </w:rPr>
        <w:t>拟签订的合同文本</w:t>
      </w:r>
    </w:p>
    <w:p w14:paraId="7EC09C9F">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宋体" w:hAnsi="宋体" w:cs="宋体"/>
          <w:b/>
          <w:color w:val="auto"/>
          <w:highlight w:val="none"/>
        </w:rPr>
      </w:pPr>
    </w:p>
    <w:p w14:paraId="564EC994">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宋体" w:hAnsi="宋体" w:cs="宋体"/>
          <w:b/>
          <w:bCs/>
          <w:color w:val="auto"/>
          <w:sz w:val="24"/>
          <w:szCs w:val="24"/>
          <w:highlight w:val="none"/>
          <w:lang w:val="zh-CN"/>
        </w:rPr>
      </w:pPr>
      <w:r>
        <w:rPr>
          <w:rFonts w:hint="eastAsia" w:ascii="宋体" w:hAnsi="宋体" w:cs="宋体"/>
          <w:b/>
          <w:color w:val="auto"/>
          <w:highlight w:val="none"/>
        </w:rPr>
        <w:t>（此合同仅供参考，以最终采购人与中标人签定的合同条款为准进行公示，最终签定合同的主要条款不能与招标文件有冲突。）</w:t>
      </w:r>
    </w:p>
    <w:p w14:paraId="7F056A64">
      <w:pPr>
        <w:pageBreakBefore w:val="0"/>
        <w:kinsoku/>
        <w:overflowPunct/>
        <w:topLinePunct w:val="0"/>
        <w:bidi w:val="0"/>
        <w:spacing w:beforeAutospacing="0" w:afterAutospacing="0" w:line="440" w:lineRule="exact"/>
        <w:ind w:left="0" w:leftChars="0" w:right="0" w:firstLine="480" w:firstLineChars="200"/>
        <w:rPr>
          <w:rFonts w:hint="eastAsia" w:ascii="宋体" w:hAnsi="宋体" w:cs="宋体"/>
          <w:color w:val="auto"/>
          <w:sz w:val="24"/>
          <w:szCs w:val="24"/>
          <w:highlight w:val="none"/>
        </w:rPr>
      </w:pPr>
    </w:p>
    <w:p w14:paraId="079E76A3">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eastAsia="zh-CN"/>
        </w:rPr>
        <w:t>大荔县</w:t>
      </w:r>
      <w:r>
        <w:rPr>
          <w:rFonts w:hint="eastAsia" w:ascii="宋体" w:hAnsi="宋体" w:cs="宋体"/>
          <w:color w:val="auto"/>
          <w:szCs w:val="21"/>
          <w:highlight w:val="none"/>
          <w:lang w:val="en-US" w:eastAsia="zh-CN"/>
        </w:rPr>
        <w:t>农村公路服务中心除雪设备购置项目</w:t>
      </w:r>
      <w:r>
        <w:rPr>
          <w:rFonts w:hint="eastAsia" w:ascii="宋体" w:hAnsi="宋体" w:cs="宋体"/>
          <w:color w:val="auto"/>
          <w:szCs w:val="21"/>
          <w:highlight w:val="none"/>
        </w:rPr>
        <w:t>（</w:t>
      </w:r>
      <w:r>
        <w:rPr>
          <w:rFonts w:hint="eastAsia" w:ascii="宋体" w:hAnsi="宋体" w:cs="宋体"/>
          <w:color w:val="auto"/>
          <w:szCs w:val="21"/>
          <w:highlight w:val="none"/>
          <w:lang w:eastAsia="zh-CN"/>
        </w:rPr>
        <w:t>项目编号</w:t>
      </w:r>
      <w:r>
        <w:rPr>
          <w:rFonts w:hint="eastAsia" w:ascii="宋体" w:hAnsi="宋体" w:cs="宋体"/>
          <w:color w:val="auto"/>
          <w:szCs w:val="21"/>
          <w:highlight w:val="none"/>
        </w:rPr>
        <w:t>：HRC-ZBDL-2026-00651），在</w:t>
      </w:r>
      <w:r>
        <w:rPr>
          <w:rFonts w:hint="eastAsia" w:ascii="宋体" w:hAnsi="宋体" w:cs="宋体"/>
          <w:color w:val="auto"/>
          <w:szCs w:val="21"/>
          <w:highlight w:val="none"/>
          <w:lang w:val="en-US" w:eastAsia="zh-CN"/>
        </w:rPr>
        <w:t>大荔县财政局</w:t>
      </w:r>
      <w:r>
        <w:rPr>
          <w:rFonts w:hint="eastAsia" w:ascii="宋体" w:hAnsi="宋体" w:cs="宋体"/>
          <w:color w:val="auto"/>
          <w:szCs w:val="21"/>
          <w:highlight w:val="none"/>
        </w:rPr>
        <w:t>的监督管理下，由</w:t>
      </w:r>
      <w:r>
        <w:rPr>
          <w:rFonts w:hint="eastAsia" w:ascii="宋体" w:hAnsi="宋体" w:cs="宋体"/>
          <w:color w:val="auto"/>
          <w:szCs w:val="21"/>
          <w:highlight w:val="none"/>
          <w:lang w:val="en-US" w:eastAsia="zh-CN"/>
        </w:rPr>
        <w:t>华睿诚项目管理</w:t>
      </w:r>
      <w:r>
        <w:rPr>
          <w:rFonts w:hint="eastAsia" w:ascii="宋体" w:hAnsi="宋体" w:cs="宋体"/>
          <w:color w:val="auto"/>
          <w:szCs w:val="21"/>
          <w:highlight w:val="none"/>
          <w:lang w:eastAsia="zh-CN"/>
        </w:rPr>
        <w:t>有限公司</w:t>
      </w:r>
      <w:r>
        <w:rPr>
          <w:rFonts w:hint="eastAsia" w:ascii="宋体" w:hAnsi="宋体" w:cs="宋体"/>
          <w:color w:val="auto"/>
          <w:szCs w:val="21"/>
          <w:highlight w:val="none"/>
        </w:rPr>
        <w:t>组织公开招标。</w:t>
      </w:r>
      <w:r>
        <w:rPr>
          <w:rFonts w:hint="eastAsia" w:ascii="宋体" w:hAnsi="宋体" w:cs="宋体"/>
          <w:color w:val="auto"/>
          <w:szCs w:val="21"/>
          <w:highlight w:val="none"/>
          <w:u w:val="single"/>
          <w:lang w:eastAsia="zh-CN"/>
        </w:rPr>
        <w:t>大荔县农村公路服务中心</w:t>
      </w:r>
      <w:r>
        <w:rPr>
          <w:rFonts w:hint="eastAsia" w:ascii="宋体" w:hAnsi="宋体" w:cs="宋体"/>
          <w:color w:val="auto"/>
          <w:szCs w:val="21"/>
          <w:highlight w:val="none"/>
        </w:rPr>
        <w:t>（以下简称“甲方”）确定</w:t>
      </w:r>
      <w:r>
        <w:rPr>
          <w:rFonts w:hint="eastAsia" w:ascii="宋体" w:hAnsi="宋体" w:cs="宋体"/>
          <w:color w:val="auto"/>
          <w:szCs w:val="21"/>
          <w:highlight w:val="none"/>
          <w:u w:val="single"/>
        </w:rPr>
        <w:t xml:space="preserve"> （中标单位名称） </w:t>
      </w:r>
      <w:r>
        <w:rPr>
          <w:rFonts w:hint="eastAsia" w:ascii="宋体" w:hAnsi="宋体" w:cs="宋体"/>
          <w:color w:val="auto"/>
          <w:szCs w:val="21"/>
          <w:highlight w:val="none"/>
        </w:rPr>
        <w:t>（以下简称“乙方”）为中标单位。依据《中华人民共和国政府采购法》、《中华人民共和国政府采购法实施条例》、《中华人民共和国民法典》以及公开招标文件、中标通知书，达成如下条款。</w:t>
      </w:r>
    </w:p>
    <w:p w14:paraId="1A7A55CA">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一、合同双方</w:t>
      </w:r>
    </w:p>
    <w:p w14:paraId="412B0B61">
      <w:pPr>
        <w:pStyle w:val="4"/>
        <w:pageBreakBefore w:val="0"/>
        <w:kinsoku/>
        <w:overflowPunct/>
        <w:topLinePunct w:val="0"/>
        <w:bidi w:val="0"/>
        <w:spacing w:beforeAutospacing="0" w:afterAutospacing="0" w:line="440" w:lineRule="exact"/>
        <w:ind w:left="0" w:leftChars="0" w:right="0" w:firstLine="422"/>
        <w:rPr>
          <w:rFonts w:ascii="宋体" w:hAnsi="宋体" w:cs="宋体"/>
          <w:color w:val="auto"/>
          <w:szCs w:val="21"/>
          <w:highlight w:val="none"/>
        </w:rPr>
      </w:pPr>
      <w:r>
        <w:rPr>
          <w:rFonts w:hint="eastAsia" w:ascii="宋体" w:hAnsi="宋体" w:cs="宋体"/>
          <w:b/>
          <w:bCs/>
          <w:color w:val="auto"/>
          <w:szCs w:val="21"/>
          <w:highlight w:val="none"/>
        </w:rPr>
        <w:t>甲  方：</w:t>
      </w:r>
      <w:r>
        <w:rPr>
          <w:rFonts w:hint="eastAsia" w:ascii="宋体" w:hAnsi="宋体" w:cs="宋体"/>
          <w:b/>
          <w:bCs/>
          <w:color w:val="auto"/>
          <w:szCs w:val="21"/>
          <w:highlight w:val="none"/>
          <w:u w:val="single"/>
          <w:lang w:eastAsia="zh-CN"/>
        </w:rPr>
        <w:t>大荔县农村公路服务中心</w:t>
      </w:r>
      <w:r>
        <w:rPr>
          <w:rFonts w:hint="eastAsia" w:ascii="宋体" w:hAnsi="宋体" w:cs="宋体"/>
          <w:b/>
          <w:bCs/>
          <w:color w:val="auto"/>
          <w:szCs w:val="21"/>
          <w:highlight w:val="none"/>
          <w:u w:val="single"/>
        </w:rPr>
        <w:t xml:space="preserve">  </w:t>
      </w:r>
    </w:p>
    <w:p w14:paraId="66A74901">
      <w:pPr>
        <w:pStyle w:val="4"/>
        <w:pageBreakBefore w:val="0"/>
        <w:kinsoku/>
        <w:overflowPunct/>
        <w:topLinePunct w:val="0"/>
        <w:bidi w:val="0"/>
        <w:spacing w:beforeAutospacing="0" w:afterAutospacing="0" w:line="440" w:lineRule="exact"/>
        <w:ind w:left="0" w:leftChars="0" w:right="0" w:firstLine="422"/>
        <w:rPr>
          <w:rFonts w:hint="eastAsia" w:ascii="宋体" w:hAnsi="宋体" w:cs="宋体"/>
          <w:color w:val="auto"/>
          <w:szCs w:val="21"/>
          <w:highlight w:val="none"/>
          <w:u w:val="single"/>
        </w:rPr>
      </w:pPr>
      <w:r>
        <w:rPr>
          <w:rFonts w:hint="eastAsia" w:ascii="宋体" w:hAnsi="宋体" w:cs="宋体"/>
          <w:b/>
          <w:bCs/>
          <w:color w:val="auto"/>
          <w:szCs w:val="21"/>
          <w:highlight w:val="none"/>
        </w:rPr>
        <w:t>乙  方：</w:t>
      </w:r>
      <w:r>
        <w:rPr>
          <w:rFonts w:hint="eastAsia" w:ascii="宋体" w:hAnsi="宋体" w:cs="宋体"/>
          <w:color w:val="auto"/>
          <w:szCs w:val="21"/>
          <w:highlight w:val="none"/>
          <w:u w:val="single"/>
        </w:rPr>
        <w:t xml:space="preserve">          （中标供应商）</w:t>
      </w:r>
    </w:p>
    <w:p w14:paraId="0D650BD2">
      <w:pPr>
        <w:pStyle w:val="4"/>
        <w:pageBreakBefore w:val="0"/>
        <w:kinsoku/>
        <w:overflowPunct/>
        <w:topLinePunct w:val="0"/>
        <w:bidi w:val="0"/>
        <w:spacing w:beforeAutospacing="0" w:afterAutospacing="0" w:line="440" w:lineRule="exact"/>
        <w:ind w:left="0" w:leftChars="0" w:right="0" w:firstLine="0" w:firstLineChars="0"/>
        <w:rPr>
          <w:rFonts w:hint="eastAsia" w:ascii="宋体" w:hAnsi="宋体" w:cs="宋体"/>
          <w:b/>
          <w:bCs/>
          <w:color w:val="auto"/>
          <w:szCs w:val="21"/>
          <w:highlight w:val="none"/>
        </w:rPr>
      </w:pPr>
      <w:r>
        <w:rPr>
          <w:rFonts w:hint="eastAsia" w:ascii="宋体" w:hAnsi="宋体" w:cs="宋体"/>
          <w:b/>
          <w:bCs/>
          <w:color w:val="auto"/>
          <w:szCs w:val="21"/>
          <w:highlight w:val="none"/>
        </w:rPr>
        <w:t>二、合同标的的内容、规格、数量</w:t>
      </w:r>
    </w:p>
    <w:tbl>
      <w:tblPr>
        <w:tblStyle w:val="2"/>
        <w:tblW w:w="8304"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677"/>
        <w:gridCol w:w="1770"/>
        <w:gridCol w:w="1687"/>
        <w:gridCol w:w="950"/>
        <w:gridCol w:w="800"/>
        <w:gridCol w:w="1313"/>
        <w:gridCol w:w="1107"/>
      </w:tblGrid>
      <w:tr w14:paraId="37A0B7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80" w:hRule="atLeast"/>
        </w:trPr>
        <w:tc>
          <w:tcPr>
            <w:tcW w:w="677" w:type="dxa"/>
            <w:noWrap w:val="0"/>
            <w:tcMar>
              <w:left w:w="108" w:type="dxa"/>
              <w:right w:w="108" w:type="dxa"/>
            </w:tcMar>
            <w:vAlign w:val="center"/>
          </w:tcPr>
          <w:p w14:paraId="4D3CC607">
            <w:pPr>
              <w:pageBreakBefore w:val="0"/>
              <w:kinsoku/>
              <w:overflowPunct/>
              <w:topLinePunct w:val="0"/>
              <w:bidi w:val="0"/>
              <w:spacing w:beforeAutospacing="0" w:afterAutospacing="0" w:line="440" w:lineRule="exact"/>
              <w:ind w:left="0" w:leftChars="0" w:right="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lang w:bidi="ar"/>
              </w:rPr>
              <w:t>序号</w:t>
            </w:r>
          </w:p>
        </w:tc>
        <w:tc>
          <w:tcPr>
            <w:tcW w:w="1770" w:type="dxa"/>
            <w:noWrap w:val="0"/>
            <w:tcMar>
              <w:left w:w="108" w:type="dxa"/>
              <w:right w:w="108" w:type="dxa"/>
            </w:tcMar>
            <w:vAlign w:val="center"/>
          </w:tcPr>
          <w:p w14:paraId="770E2AC6">
            <w:pPr>
              <w:pageBreakBefore w:val="0"/>
              <w:kinsoku/>
              <w:overflowPunct/>
              <w:topLinePunct w:val="0"/>
              <w:bidi w:val="0"/>
              <w:spacing w:beforeAutospacing="0" w:afterAutospacing="0" w:line="440" w:lineRule="exact"/>
              <w:ind w:left="0" w:leftChars="0" w:right="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lang w:val="en-US" w:eastAsia="zh-CN" w:bidi="ar"/>
              </w:rPr>
              <w:t>产品</w:t>
            </w:r>
            <w:bookmarkStart w:id="0" w:name="_GoBack"/>
            <w:bookmarkEnd w:id="0"/>
            <w:r>
              <w:rPr>
                <w:rFonts w:hint="eastAsia" w:ascii="宋体" w:hAnsi="宋体" w:cs="宋体"/>
                <w:b/>
                <w:color w:val="auto"/>
                <w:kern w:val="0"/>
                <w:szCs w:val="21"/>
                <w:highlight w:val="none"/>
                <w:lang w:bidi="ar"/>
              </w:rPr>
              <w:t>名称</w:t>
            </w:r>
          </w:p>
        </w:tc>
        <w:tc>
          <w:tcPr>
            <w:tcW w:w="1687" w:type="dxa"/>
            <w:noWrap w:val="0"/>
            <w:tcMar>
              <w:left w:w="108" w:type="dxa"/>
              <w:right w:w="108" w:type="dxa"/>
            </w:tcMar>
            <w:vAlign w:val="center"/>
          </w:tcPr>
          <w:p w14:paraId="5442E2E2">
            <w:pPr>
              <w:pageBreakBefore w:val="0"/>
              <w:kinsoku/>
              <w:overflowPunct/>
              <w:topLinePunct w:val="0"/>
              <w:bidi w:val="0"/>
              <w:spacing w:beforeAutospacing="0" w:afterAutospacing="0" w:line="440" w:lineRule="exact"/>
              <w:ind w:left="0" w:leftChars="0" w:right="0"/>
              <w:jc w:val="center"/>
              <w:rPr>
                <w:rFonts w:hint="default" w:ascii="宋体" w:hAnsi="宋体" w:cs="宋体" w:eastAsiaTheme="minorEastAsia"/>
                <w:b/>
                <w:color w:val="auto"/>
                <w:kern w:val="0"/>
                <w:szCs w:val="21"/>
                <w:highlight w:val="none"/>
                <w:lang w:val="en-US" w:eastAsia="zh-CN"/>
              </w:rPr>
            </w:pPr>
            <w:r>
              <w:rPr>
                <w:rFonts w:hint="eastAsia" w:ascii="宋体" w:hAnsi="宋体" w:cs="宋体"/>
                <w:b/>
                <w:color w:val="auto"/>
                <w:kern w:val="0"/>
                <w:szCs w:val="21"/>
                <w:highlight w:val="none"/>
                <w:lang w:val="en-US" w:eastAsia="zh-CN"/>
              </w:rPr>
              <w:t>品牌及型号</w:t>
            </w:r>
          </w:p>
        </w:tc>
        <w:tc>
          <w:tcPr>
            <w:tcW w:w="950" w:type="dxa"/>
            <w:noWrap w:val="0"/>
            <w:vAlign w:val="center"/>
          </w:tcPr>
          <w:p w14:paraId="2F5F7844">
            <w:pPr>
              <w:pageBreakBefore w:val="0"/>
              <w:kinsoku/>
              <w:overflowPunct/>
              <w:topLinePunct w:val="0"/>
              <w:bidi w:val="0"/>
              <w:spacing w:beforeAutospacing="0" w:afterAutospacing="0" w:line="440" w:lineRule="exact"/>
              <w:ind w:left="0" w:leftChars="0" w:right="0"/>
              <w:jc w:val="center"/>
              <w:textAlignment w:val="center"/>
              <w:rPr>
                <w:rFonts w:hint="eastAsia" w:ascii="宋体" w:hAnsi="宋体" w:cs="宋体"/>
                <w:b/>
                <w:color w:val="auto"/>
                <w:szCs w:val="21"/>
                <w:highlight w:val="none"/>
              </w:rPr>
            </w:pPr>
            <w:r>
              <w:rPr>
                <w:rFonts w:hint="eastAsia" w:ascii="宋体" w:hAnsi="宋体" w:cs="宋体"/>
                <w:b/>
                <w:color w:val="auto"/>
                <w:szCs w:val="21"/>
                <w:highlight w:val="none"/>
              </w:rPr>
              <w:t>制造商</w:t>
            </w:r>
          </w:p>
        </w:tc>
        <w:tc>
          <w:tcPr>
            <w:tcW w:w="800" w:type="dxa"/>
            <w:noWrap w:val="0"/>
            <w:vAlign w:val="center"/>
          </w:tcPr>
          <w:p w14:paraId="37912A48">
            <w:pPr>
              <w:pageBreakBefore w:val="0"/>
              <w:kinsoku/>
              <w:overflowPunct/>
              <w:topLinePunct w:val="0"/>
              <w:bidi w:val="0"/>
              <w:spacing w:beforeAutospacing="0" w:afterAutospacing="0" w:line="440" w:lineRule="exact"/>
              <w:ind w:left="0" w:leftChars="0" w:right="0"/>
              <w:jc w:val="center"/>
              <w:rPr>
                <w:rFonts w:hint="eastAsia" w:ascii="宋体" w:hAnsi="宋体" w:cs="宋体"/>
                <w:b/>
                <w:color w:val="auto"/>
                <w:szCs w:val="21"/>
                <w:highlight w:val="none"/>
              </w:rPr>
            </w:pPr>
            <w:r>
              <w:rPr>
                <w:rFonts w:hint="eastAsia" w:ascii="宋体" w:hAnsi="宋体" w:cs="宋体"/>
                <w:b/>
                <w:color w:val="auto"/>
                <w:kern w:val="0"/>
                <w:szCs w:val="21"/>
                <w:highlight w:val="none"/>
                <w:lang w:bidi="ar"/>
              </w:rPr>
              <w:t>数量</w:t>
            </w:r>
          </w:p>
        </w:tc>
        <w:tc>
          <w:tcPr>
            <w:tcW w:w="1313" w:type="dxa"/>
            <w:noWrap w:val="0"/>
            <w:vAlign w:val="center"/>
          </w:tcPr>
          <w:p w14:paraId="10CFE232">
            <w:pPr>
              <w:pageBreakBefore w:val="0"/>
              <w:kinsoku/>
              <w:overflowPunct/>
              <w:topLinePunct w:val="0"/>
              <w:bidi w:val="0"/>
              <w:spacing w:beforeAutospacing="0" w:afterAutospacing="0" w:line="440" w:lineRule="exact"/>
              <w:ind w:left="0" w:leftChars="0" w:right="0"/>
              <w:jc w:val="center"/>
              <w:textAlignment w:val="center"/>
              <w:rPr>
                <w:rFonts w:hint="eastAsia" w:ascii="宋体" w:hAnsi="宋体" w:cs="宋体"/>
                <w:b/>
                <w:color w:val="auto"/>
                <w:szCs w:val="21"/>
                <w:highlight w:val="none"/>
              </w:rPr>
            </w:pPr>
            <w:r>
              <w:rPr>
                <w:rFonts w:hint="eastAsia" w:ascii="宋体" w:hAnsi="宋体" w:cs="宋体"/>
                <w:b/>
                <w:color w:val="auto"/>
                <w:szCs w:val="21"/>
                <w:highlight w:val="none"/>
              </w:rPr>
              <w:t>单价</w:t>
            </w:r>
          </w:p>
          <w:p w14:paraId="27EE6019">
            <w:pPr>
              <w:pageBreakBefore w:val="0"/>
              <w:kinsoku/>
              <w:overflowPunct/>
              <w:topLinePunct w:val="0"/>
              <w:bidi w:val="0"/>
              <w:spacing w:beforeAutospacing="0" w:afterAutospacing="0" w:line="440" w:lineRule="exact"/>
              <w:ind w:left="0" w:leftChars="0" w:right="0"/>
              <w:jc w:val="center"/>
              <w:textAlignment w:val="center"/>
              <w:rPr>
                <w:rFonts w:ascii="宋体" w:hAnsi="宋体" w:cs="宋体"/>
                <w:b/>
                <w:color w:val="auto"/>
                <w:szCs w:val="21"/>
                <w:highlight w:val="none"/>
              </w:rPr>
            </w:pPr>
            <w:r>
              <w:rPr>
                <w:rFonts w:hint="eastAsia" w:ascii="宋体" w:hAnsi="宋体" w:cs="宋体"/>
                <w:b/>
                <w:color w:val="auto"/>
                <w:szCs w:val="21"/>
                <w:highlight w:val="none"/>
              </w:rPr>
              <w:t>（元）</w:t>
            </w:r>
          </w:p>
        </w:tc>
        <w:tc>
          <w:tcPr>
            <w:tcW w:w="1107" w:type="dxa"/>
            <w:noWrap w:val="0"/>
            <w:vAlign w:val="center"/>
          </w:tcPr>
          <w:p w14:paraId="728C10E9">
            <w:pPr>
              <w:pageBreakBefore w:val="0"/>
              <w:kinsoku/>
              <w:overflowPunct/>
              <w:topLinePunct w:val="0"/>
              <w:bidi w:val="0"/>
              <w:spacing w:beforeAutospacing="0" w:afterAutospacing="0" w:line="440" w:lineRule="exact"/>
              <w:ind w:left="0" w:leftChars="0" w:right="0"/>
              <w:jc w:val="center"/>
              <w:textAlignment w:val="center"/>
              <w:rPr>
                <w:rFonts w:hint="eastAsia" w:ascii="宋体" w:hAnsi="宋体" w:cs="宋体"/>
                <w:b/>
                <w:color w:val="auto"/>
                <w:szCs w:val="21"/>
                <w:highlight w:val="none"/>
              </w:rPr>
            </w:pPr>
            <w:r>
              <w:rPr>
                <w:rFonts w:hint="eastAsia" w:ascii="宋体" w:hAnsi="宋体" w:cs="宋体"/>
                <w:b/>
                <w:color w:val="auto"/>
                <w:szCs w:val="21"/>
                <w:highlight w:val="none"/>
              </w:rPr>
              <w:t>小计</w:t>
            </w:r>
          </w:p>
          <w:p w14:paraId="0A980C7F">
            <w:pPr>
              <w:pageBreakBefore w:val="0"/>
              <w:kinsoku/>
              <w:overflowPunct/>
              <w:topLinePunct w:val="0"/>
              <w:bidi w:val="0"/>
              <w:spacing w:beforeAutospacing="0" w:afterAutospacing="0" w:line="440" w:lineRule="exact"/>
              <w:ind w:left="0" w:leftChars="0" w:right="0"/>
              <w:jc w:val="center"/>
              <w:textAlignment w:val="center"/>
              <w:rPr>
                <w:rFonts w:ascii="宋体" w:hAnsi="宋体" w:cs="宋体"/>
                <w:b/>
                <w:color w:val="auto"/>
                <w:szCs w:val="21"/>
                <w:highlight w:val="none"/>
              </w:rPr>
            </w:pPr>
            <w:r>
              <w:rPr>
                <w:rFonts w:hint="eastAsia" w:ascii="宋体" w:hAnsi="宋体" w:cs="宋体"/>
                <w:b/>
                <w:color w:val="auto"/>
                <w:szCs w:val="21"/>
                <w:highlight w:val="none"/>
              </w:rPr>
              <w:t>（元）</w:t>
            </w:r>
          </w:p>
        </w:tc>
      </w:tr>
      <w:tr w14:paraId="65CB6D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677" w:type="dxa"/>
            <w:noWrap w:val="0"/>
            <w:tcMar>
              <w:left w:w="108" w:type="dxa"/>
              <w:right w:w="108" w:type="dxa"/>
            </w:tcMar>
            <w:vAlign w:val="center"/>
          </w:tcPr>
          <w:p w14:paraId="501E4C61">
            <w:pPr>
              <w:pageBreakBefore w:val="0"/>
              <w:kinsoku/>
              <w:overflowPunct/>
              <w:topLinePunct w:val="0"/>
              <w:bidi w:val="0"/>
              <w:snapToGrid w:val="0"/>
              <w:spacing w:beforeAutospacing="0" w:afterAutospacing="0" w:line="440" w:lineRule="exact"/>
              <w:ind w:left="0" w:leftChars="0" w:right="0"/>
              <w:jc w:val="center"/>
              <w:rPr>
                <w:rFonts w:hint="eastAsia" w:ascii="宋体" w:hAnsi="宋体" w:cs="宋体"/>
                <w:color w:val="auto"/>
                <w:kern w:val="0"/>
                <w:szCs w:val="21"/>
                <w:highlight w:val="none"/>
              </w:rPr>
            </w:pPr>
            <w:r>
              <w:rPr>
                <w:rFonts w:hint="eastAsia" w:ascii="宋体" w:hAnsi="宋体" w:cs="宋体"/>
                <w:color w:val="auto"/>
                <w:szCs w:val="21"/>
                <w:highlight w:val="none"/>
              </w:rPr>
              <w:t>1</w:t>
            </w:r>
          </w:p>
        </w:tc>
        <w:tc>
          <w:tcPr>
            <w:tcW w:w="1770" w:type="dxa"/>
            <w:noWrap w:val="0"/>
            <w:tcMar>
              <w:left w:w="108" w:type="dxa"/>
              <w:right w:w="108" w:type="dxa"/>
            </w:tcMar>
            <w:vAlign w:val="center"/>
          </w:tcPr>
          <w:p w14:paraId="570B9655">
            <w:pPr>
              <w:pageBreakBefore w:val="0"/>
              <w:kinsoku/>
              <w:overflowPunct/>
              <w:topLinePunct w:val="0"/>
              <w:bidi w:val="0"/>
              <w:snapToGrid w:val="0"/>
              <w:spacing w:beforeAutospacing="0" w:afterAutospacing="0" w:line="440" w:lineRule="exact"/>
              <w:ind w:left="0" w:leftChars="0" w:right="0"/>
              <w:jc w:val="center"/>
              <w:rPr>
                <w:rFonts w:hint="eastAsia" w:ascii="宋体" w:hAnsi="宋体" w:cs="宋体"/>
                <w:color w:val="auto"/>
                <w:kern w:val="0"/>
                <w:szCs w:val="21"/>
                <w:highlight w:val="none"/>
              </w:rPr>
            </w:pPr>
          </w:p>
        </w:tc>
        <w:tc>
          <w:tcPr>
            <w:tcW w:w="1687" w:type="dxa"/>
            <w:noWrap w:val="0"/>
            <w:tcMar>
              <w:left w:w="108" w:type="dxa"/>
              <w:right w:w="108" w:type="dxa"/>
            </w:tcMar>
            <w:vAlign w:val="center"/>
          </w:tcPr>
          <w:p w14:paraId="354A5450">
            <w:pPr>
              <w:pageBreakBefore w:val="0"/>
              <w:kinsoku/>
              <w:overflowPunct/>
              <w:topLinePunct w:val="0"/>
              <w:bidi w:val="0"/>
              <w:spacing w:beforeAutospacing="0" w:afterAutospacing="0" w:line="440" w:lineRule="exact"/>
              <w:ind w:left="0" w:leftChars="0" w:right="0"/>
              <w:jc w:val="center"/>
              <w:rPr>
                <w:rFonts w:hint="eastAsia" w:ascii="宋体" w:hAnsi="宋体" w:cs="宋体"/>
                <w:color w:val="auto"/>
                <w:kern w:val="0"/>
                <w:szCs w:val="21"/>
                <w:highlight w:val="none"/>
              </w:rPr>
            </w:pPr>
          </w:p>
        </w:tc>
        <w:tc>
          <w:tcPr>
            <w:tcW w:w="950" w:type="dxa"/>
            <w:noWrap w:val="0"/>
            <w:vAlign w:val="center"/>
          </w:tcPr>
          <w:p w14:paraId="63B54990">
            <w:pPr>
              <w:pageBreakBefore w:val="0"/>
              <w:kinsoku/>
              <w:overflowPunct/>
              <w:topLinePunct w:val="0"/>
              <w:bidi w:val="0"/>
              <w:spacing w:beforeAutospacing="0" w:afterAutospacing="0" w:line="440" w:lineRule="exact"/>
              <w:ind w:left="0" w:leftChars="0" w:right="0"/>
              <w:jc w:val="center"/>
              <w:rPr>
                <w:rFonts w:hint="eastAsia" w:ascii="宋体" w:hAnsi="宋体" w:cs="宋体"/>
                <w:color w:val="auto"/>
                <w:szCs w:val="21"/>
                <w:highlight w:val="none"/>
              </w:rPr>
            </w:pPr>
          </w:p>
        </w:tc>
        <w:tc>
          <w:tcPr>
            <w:tcW w:w="800" w:type="dxa"/>
            <w:noWrap w:val="0"/>
            <w:vAlign w:val="center"/>
          </w:tcPr>
          <w:p w14:paraId="7DA1F4E3">
            <w:pPr>
              <w:pageBreakBefore w:val="0"/>
              <w:kinsoku/>
              <w:overflowPunct/>
              <w:topLinePunct w:val="0"/>
              <w:bidi w:val="0"/>
              <w:spacing w:beforeAutospacing="0" w:afterAutospacing="0" w:line="440" w:lineRule="exact"/>
              <w:ind w:left="0" w:leftChars="0" w:right="0"/>
              <w:jc w:val="center"/>
              <w:rPr>
                <w:rFonts w:hint="eastAsia" w:ascii="宋体" w:hAnsi="宋体" w:cs="宋体"/>
                <w:color w:val="auto"/>
                <w:szCs w:val="21"/>
                <w:highlight w:val="none"/>
              </w:rPr>
            </w:pPr>
          </w:p>
        </w:tc>
        <w:tc>
          <w:tcPr>
            <w:tcW w:w="1313" w:type="dxa"/>
            <w:noWrap w:val="0"/>
            <w:vAlign w:val="center"/>
          </w:tcPr>
          <w:p w14:paraId="750A7766">
            <w:pPr>
              <w:pageBreakBefore w:val="0"/>
              <w:kinsoku/>
              <w:overflowPunct/>
              <w:topLinePunct w:val="0"/>
              <w:bidi w:val="0"/>
              <w:spacing w:beforeAutospacing="0" w:afterAutospacing="0" w:line="440" w:lineRule="exact"/>
              <w:ind w:left="0" w:leftChars="0" w:right="0"/>
              <w:jc w:val="center"/>
              <w:rPr>
                <w:rFonts w:hint="eastAsia" w:ascii="宋体" w:hAnsi="宋体" w:cs="宋体"/>
                <w:color w:val="auto"/>
                <w:szCs w:val="21"/>
                <w:highlight w:val="none"/>
              </w:rPr>
            </w:pPr>
          </w:p>
        </w:tc>
        <w:tc>
          <w:tcPr>
            <w:tcW w:w="1107" w:type="dxa"/>
            <w:noWrap w:val="0"/>
            <w:vAlign w:val="center"/>
          </w:tcPr>
          <w:p w14:paraId="5CC15AD1">
            <w:pPr>
              <w:pageBreakBefore w:val="0"/>
              <w:kinsoku/>
              <w:overflowPunct/>
              <w:topLinePunct w:val="0"/>
              <w:bidi w:val="0"/>
              <w:spacing w:beforeAutospacing="0" w:afterAutospacing="0" w:line="440" w:lineRule="exact"/>
              <w:ind w:left="0" w:leftChars="0" w:right="0"/>
              <w:jc w:val="center"/>
              <w:rPr>
                <w:rFonts w:hint="eastAsia" w:ascii="宋体" w:hAnsi="宋体" w:cs="宋体"/>
                <w:color w:val="auto"/>
                <w:szCs w:val="21"/>
                <w:highlight w:val="none"/>
              </w:rPr>
            </w:pPr>
          </w:p>
        </w:tc>
      </w:tr>
      <w:tr w14:paraId="4D32A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50" w:hRule="atLeast"/>
        </w:trPr>
        <w:tc>
          <w:tcPr>
            <w:tcW w:w="8304" w:type="dxa"/>
            <w:gridSpan w:val="7"/>
            <w:noWrap w:val="0"/>
            <w:tcMar>
              <w:left w:w="108" w:type="dxa"/>
              <w:right w:w="108" w:type="dxa"/>
            </w:tcMar>
            <w:vAlign w:val="center"/>
          </w:tcPr>
          <w:p w14:paraId="282A87E5">
            <w:pPr>
              <w:pageBreakBefore w:val="0"/>
              <w:kinsoku/>
              <w:overflowPunct/>
              <w:topLinePunct w:val="0"/>
              <w:bidi w:val="0"/>
              <w:spacing w:beforeAutospacing="0" w:afterAutospacing="0" w:line="440" w:lineRule="exact"/>
              <w:ind w:left="0" w:leftChars="0" w:right="0"/>
              <w:rPr>
                <w:rFonts w:hint="eastAsia" w:ascii="宋体" w:hAnsi="宋体" w:cs="宋体"/>
                <w:color w:val="auto"/>
                <w:szCs w:val="21"/>
                <w:highlight w:val="none"/>
              </w:rPr>
            </w:pPr>
            <w:r>
              <w:rPr>
                <w:rFonts w:hint="eastAsia" w:ascii="宋体" w:hAnsi="宋体" w:cs="宋体"/>
                <w:b/>
                <w:bCs/>
                <w:color w:val="auto"/>
                <w:szCs w:val="21"/>
                <w:highlight w:val="none"/>
              </w:rPr>
              <w:t>合计（人民币元）：</w:t>
            </w:r>
          </w:p>
        </w:tc>
      </w:tr>
    </w:tbl>
    <w:p w14:paraId="60FA89C3">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三、合同价格</w:t>
      </w:r>
    </w:p>
    <w:p w14:paraId="2BCD3FF1">
      <w:pPr>
        <w:pageBreakBefore w:val="0"/>
        <w:kinsoku/>
        <w:overflowPunct/>
        <w:topLinePunct w:val="0"/>
        <w:autoSpaceDN w:val="0"/>
        <w:bidi w:val="0"/>
        <w:adjustRightInd w:val="0"/>
        <w:spacing w:beforeAutospacing="0" w:afterAutospacing="0" w:line="440" w:lineRule="exact"/>
        <w:ind w:left="0" w:leftChars="0" w:right="0"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lang w:val="zh-CN"/>
        </w:rPr>
        <w:t>3.1合同金额为：（大写）</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 xml:space="preserve">（小写：¥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lang w:val="zh-CN"/>
        </w:rPr>
        <w:t>元，为含税价）</w:t>
      </w:r>
    </w:p>
    <w:p w14:paraId="05D70CEB">
      <w:pPr>
        <w:pageBreakBefore w:val="0"/>
        <w:kinsoku/>
        <w:overflowPunct/>
        <w:topLinePunct w:val="0"/>
        <w:autoSpaceDN w:val="0"/>
        <w:bidi w:val="0"/>
        <w:adjustRightInd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3.2合同总价包括：</w:t>
      </w:r>
      <w:r>
        <w:rPr>
          <w:rFonts w:hint="eastAsia" w:ascii="宋体" w:hAnsi="宋体" w:cs="宋体"/>
          <w:color w:val="auto"/>
          <w:szCs w:val="21"/>
          <w:highlight w:val="none"/>
          <w:lang w:bidi="ar"/>
        </w:rPr>
        <w:t>所投的全部产品达到正常使用条件下的投标总价（包含但不限于本次采购车辆及装置的设计、制造、运输、装卸、检验、</w:t>
      </w:r>
      <w:r>
        <w:rPr>
          <w:rFonts w:hint="eastAsia" w:ascii="宋体" w:hAnsi="宋体" w:cs="宋体"/>
          <w:color w:val="auto"/>
          <w:szCs w:val="21"/>
          <w:highlight w:val="none"/>
          <w:lang w:val="en-US" w:eastAsia="zh-CN" w:bidi="ar"/>
        </w:rPr>
        <w:t>交强险、车辆购置附加费、</w:t>
      </w:r>
      <w:r>
        <w:rPr>
          <w:rFonts w:hint="eastAsia" w:ascii="宋体" w:hAnsi="宋体" w:cs="宋体"/>
          <w:color w:val="auto"/>
          <w:szCs w:val="21"/>
          <w:highlight w:val="none"/>
          <w:lang w:bidi="ar"/>
        </w:rPr>
        <w:t>上牌、首保、备品备件等一切费用）</w:t>
      </w:r>
      <w:r>
        <w:rPr>
          <w:rFonts w:hint="eastAsia" w:ascii="宋体" w:hAnsi="宋体" w:cs="宋体"/>
          <w:color w:val="auto"/>
          <w:szCs w:val="21"/>
          <w:highlight w:val="none"/>
        </w:rPr>
        <w:t>。</w:t>
      </w:r>
    </w:p>
    <w:p w14:paraId="553DBE8E">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3.3合同总价一次性包死，不受市场价格变化因素的影响。</w:t>
      </w:r>
    </w:p>
    <w:p w14:paraId="534F7291">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四、付款及结算方式</w:t>
      </w:r>
    </w:p>
    <w:p w14:paraId="208D4B8E">
      <w:pPr>
        <w:pageBreakBefore w:val="0"/>
        <w:kinsoku/>
        <w:overflowPunct/>
        <w:topLinePunct w:val="0"/>
        <w:bidi w:val="0"/>
        <w:spacing w:beforeAutospacing="0" w:afterAutospacing="0" w:line="440" w:lineRule="exact"/>
        <w:ind w:left="0" w:leftChars="0" w:right="0"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4.1付款方式：合同签订后</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lang w:val="en-US" w:eastAsia="zh-CN"/>
        </w:rPr>
        <w:t>货物交付并验收合格后一次性付清</w:t>
      </w:r>
      <w:r>
        <w:rPr>
          <w:rFonts w:hint="eastAsia" w:ascii="宋体" w:hAnsi="宋体" w:cs="宋体"/>
          <w:b/>
          <w:bCs/>
          <w:color w:val="auto"/>
          <w:szCs w:val="21"/>
          <w:highlight w:val="none"/>
        </w:rPr>
        <w:t>。</w:t>
      </w:r>
    </w:p>
    <w:p w14:paraId="3A0A837C">
      <w:pPr>
        <w:pageBreakBefore w:val="0"/>
        <w:kinsoku/>
        <w:overflowPunct/>
        <w:topLinePunct w:val="0"/>
        <w:bidi w:val="0"/>
        <w:spacing w:beforeAutospacing="0" w:afterAutospacing="0" w:line="440" w:lineRule="exact"/>
        <w:ind w:left="0" w:leftChars="0" w:right="0" w:firstLine="422" w:firstLineChars="200"/>
        <w:rPr>
          <w:rFonts w:hint="eastAsia"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4.2支付方式：银行转账。</w:t>
      </w:r>
    </w:p>
    <w:p w14:paraId="13DC22BD">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五</w:t>
      </w:r>
      <w:r>
        <w:rPr>
          <w:rFonts w:hint="eastAsia" w:ascii="宋体" w:hAnsi="宋体" w:cs="宋体"/>
          <w:b/>
          <w:bCs/>
          <w:color w:val="auto"/>
          <w:szCs w:val="21"/>
          <w:highlight w:val="none"/>
        </w:rPr>
        <w:t>、供应商开户信息</w:t>
      </w:r>
    </w:p>
    <w:p w14:paraId="08F06486">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供应商名称：</w:t>
      </w:r>
      <w:r>
        <w:rPr>
          <w:rFonts w:hint="eastAsia" w:ascii="宋体" w:hAnsi="宋体" w:cs="宋体"/>
          <w:color w:val="auto"/>
          <w:szCs w:val="21"/>
          <w:highlight w:val="none"/>
          <w:u w:val="single"/>
        </w:rPr>
        <w:t xml:space="preserve">                              </w:t>
      </w:r>
    </w:p>
    <w:p w14:paraId="71E7D6BF">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开户行名称：</w:t>
      </w:r>
      <w:r>
        <w:rPr>
          <w:rFonts w:hint="eastAsia" w:ascii="宋体" w:hAnsi="宋体" w:cs="宋体"/>
          <w:color w:val="auto"/>
          <w:szCs w:val="21"/>
          <w:highlight w:val="none"/>
          <w:u w:val="single"/>
        </w:rPr>
        <w:t xml:space="preserve">                              </w:t>
      </w:r>
    </w:p>
    <w:p w14:paraId="1FAAF7F6">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账   号：</w:t>
      </w:r>
      <w:r>
        <w:rPr>
          <w:rFonts w:hint="eastAsia" w:ascii="宋体" w:hAnsi="宋体" w:cs="宋体"/>
          <w:color w:val="auto"/>
          <w:szCs w:val="21"/>
          <w:highlight w:val="none"/>
          <w:u w:val="single"/>
        </w:rPr>
        <w:t xml:space="preserve">                                 </w:t>
      </w:r>
    </w:p>
    <w:p w14:paraId="28815B15">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六</w:t>
      </w:r>
      <w:r>
        <w:rPr>
          <w:rFonts w:hint="eastAsia" w:ascii="宋体" w:hAnsi="宋体" w:cs="宋体"/>
          <w:b/>
          <w:bCs/>
          <w:color w:val="auto"/>
          <w:szCs w:val="21"/>
          <w:highlight w:val="none"/>
        </w:rPr>
        <w:t>、合同履行期限、地点和方式</w:t>
      </w:r>
    </w:p>
    <w:p w14:paraId="6A012A80">
      <w:pPr>
        <w:pageBreakBefore w:val="0"/>
        <w:kinsoku/>
        <w:overflowPunct/>
        <w:topLinePunct w:val="0"/>
        <w:bidi w:val="0"/>
        <w:spacing w:beforeAutospacing="0" w:afterAutospacing="0" w:line="440" w:lineRule="exact"/>
        <w:ind w:left="0" w:leftChars="0" w:right="0" w:firstLine="420" w:firstLineChars="200"/>
        <w:rPr>
          <w:rFonts w:hint="eastAsia" w:ascii="宋体" w:hAnsi="宋体" w:eastAsia="宋体" w:cs="宋体"/>
          <w:b/>
          <w:bCs/>
          <w:color w:val="auto"/>
          <w:kern w:val="0"/>
          <w:szCs w:val="21"/>
          <w:highlight w:val="none"/>
          <w:u w:val="none"/>
          <w:lang w:val="zh-CN"/>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.1交货期：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p>
    <w:p w14:paraId="673DEE67">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.2交货地点：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p>
    <w:p w14:paraId="771BF41B">
      <w:pPr>
        <w:pageBreakBefore w:val="0"/>
        <w:kinsoku/>
        <w:overflowPunct/>
        <w:topLinePunct w:val="0"/>
        <w:bidi w:val="0"/>
        <w:spacing w:beforeAutospacing="0" w:afterAutospacing="0" w:line="440" w:lineRule="exact"/>
        <w:ind w:left="0" w:leftChars="0" w:right="0" w:firstLine="420" w:firstLineChars="200"/>
        <w:rPr>
          <w:rFonts w:hint="eastAsia" w:ascii="宋体" w:hAnsi="宋体" w:eastAsia="宋体" w:cs="宋体"/>
          <w:b/>
          <w:bCs/>
          <w:color w:val="0000FF"/>
          <w:kern w:val="0"/>
          <w:szCs w:val="21"/>
          <w:highlight w:val="none"/>
          <w:u w:val="none"/>
          <w:lang w:val="zh-CN"/>
        </w:rPr>
      </w:pPr>
      <w:r>
        <w:rPr>
          <w:rFonts w:hint="eastAsia" w:ascii="宋体" w:hAnsi="宋体" w:cs="宋体"/>
          <w:color w:val="auto"/>
          <w:szCs w:val="21"/>
          <w:highlight w:val="none"/>
          <w:u w:val="none"/>
          <w:lang w:val="en-US" w:eastAsia="zh-CN"/>
        </w:rPr>
        <w:t>6.3</w:t>
      </w:r>
      <w:r>
        <w:rPr>
          <w:rFonts w:hint="eastAsia" w:ascii="宋体" w:hAnsi="宋体" w:cs="宋体"/>
          <w:b/>
          <w:bCs/>
          <w:color w:val="auto"/>
          <w:kern w:val="0"/>
          <w:szCs w:val="21"/>
          <w:highlight w:val="none"/>
          <w:u w:val="none"/>
          <w:lang w:val="zh-CN"/>
        </w:rPr>
        <w:t>质保期：</w:t>
      </w:r>
      <w:r>
        <w:rPr>
          <w:rFonts w:hint="eastAsia" w:ascii="宋体" w:hAnsi="宋体" w:eastAsia="宋体" w:cs="宋体"/>
          <w:b/>
          <w:bCs/>
          <w:color w:val="auto"/>
          <w:kern w:val="0"/>
          <w:szCs w:val="21"/>
          <w:highlight w:val="none"/>
          <w:u w:val="none"/>
          <w:lang w:val="zh-CN"/>
        </w:rPr>
        <w:t>交付验收合格后整车质保不低于</w:t>
      </w:r>
      <w:r>
        <w:rPr>
          <w:rFonts w:hint="eastAsia" w:ascii="宋体" w:hAnsi="宋体" w:eastAsia="宋体" w:cs="宋体"/>
          <w:b/>
          <w:bCs/>
          <w:color w:val="auto"/>
          <w:kern w:val="0"/>
          <w:szCs w:val="21"/>
          <w:highlight w:val="none"/>
          <w:u w:val="none"/>
          <w:lang w:val="en-US" w:eastAsia="zh-CN"/>
        </w:rPr>
        <w:t>1</w:t>
      </w:r>
      <w:r>
        <w:rPr>
          <w:rFonts w:hint="eastAsia" w:ascii="宋体" w:hAnsi="宋体" w:eastAsia="宋体" w:cs="宋体"/>
          <w:b/>
          <w:bCs/>
          <w:color w:val="auto"/>
          <w:kern w:val="0"/>
          <w:szCs w:val="21"/>
          <w:highlight w:val="none"/>
          <w:u w:val="none"/>
          <w:lang w:val="zh-CN"/>
        </w:rPr>
        <w:t>年。</w:t>
      </w:r>
    </w:p>
    <w:p w14:paraId="46EB42DA">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乙方应自行选择适宜的运输工具及线路安排合同货物运输。</w:t>
      </w:r>
    </w:p>
    <w:p w14:paraId="57D6B315">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七</w:t>
      </w:r>
      <w:r>
        <w:rPr>
          <w:rFonts w:hint="eastAsia" w:ascii="宋体" w:hAnsi="宋体" w:cs="宋体"/>
          <w:b/>
          <w:bCs/>
          <w:color w:val="auto"/>
          <w:szCs w:val="21"/>
          <w:highlight w:val="none"/>
        </w:rPr>
        <w:t>、合同当事人的权利和义务</w:t>
      </w:r>
    </w:p>
    <w:p w14:paraId="62D34B4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.1甲方的权利和义务</w:t>
      </w:r>
    </w:p>
    <w:p w14:paraId="1A26350C">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（1）甲方有权享有乙方按照上述约定提供的货物和服务。</w:t>
      </w:r>
    </w:p>
    <w:p w14:paraId="3BB80AEE">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（2）乙方未能按时交付合同货物时，甲方有权要求乙方赔偿违约金。</w:t>
      </w:r>
    </w:p>
    <w:p w14:paraId="67795A3C">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（3）质保期内货物出现故障，接到甲方通知，乙方未能及时作出响应，则甲方有权自行或委托他人解决相关问题或查找和解决合同货物的故障，乙方应承担由此发生的全部费用。</w:t>
      </w:r>
    </w:p>
    <w:p w14:paraId="50BF73FF">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（4）乙方货物交付时，甲方应提供必要的便利条件协助乙方完成交付，并及时组织相关人员对货物进行验收。</w:t>
      </w:r>
    </w:p>
    <w:p w14:paraId="7590E8F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（5）乙方按照合同完成履约后，甲方应按照合同约定及时支付合同价款。</w:t>
      </w:r>
    </w:p>
    <w:p w14:paraId="1DA1684C">
      <w:pPr>
        <w:pageBreakBefore w:val="0"/>
        <w:kinsoku/>
        <w:overflowPunct/>
        <w:topLinePunct w:val="0"/>
        <w:autoSpaceDN w:val="0"/>
        <w:bidi w:val="0"/>
        <w:adjustRightInd w:val="0"/>
        <w:spacing w:beforeAutospacing="0" w:afterAutospacing="0" w:line="440" w:lineRule="exact"/>
        <w:ind w:left="0" w:leftChars="0" w:right="0"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lang w:val="zh-CN"/>
        </w:rPr>
        <w:t>（6）乙方应保证所提供产品不会出现因第三方提出侵犯其专利权、商标权或其他知识产权而引发的法律或经济纠纷；如出现，乙方应承担因此而产生的法律责任及赔偿责任。如因知识产权纠纷而影响到甲方正常工作开展，甲方有权单方面解除本合同，并拒绝向乙方支付剩余未支付费用，且有权要求乙方退还已支付款项并承担相应的赔偿责任。</w:t>
      </w:r>
    </w:p>
    <w:p w14:paraId="32C12D3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.2乙方的权利和义务</w:t>
      </w:r>
    </w:p>
    <w:p w14:paraId="114D2AB6">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（1）乙方有权要求甲方按照合同约定支付合同价款。</w:t>
      </w:r>
    </w:p>
    <w:p w14:paraId="4FED4666">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（2）乙方应按照合同约定及时交付合同货物。</w:t>
      </w:r>
    </w:p>
    <w:p w14:paraId="76A914F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（3）乙方应随同每套货物提供相应的中文的技术文件。例如：产品目录、图纸、操作手册、使用说明、维护手册或服务指南等。</w:t>
      </w:r>
    </w:p>
    <w:p w14:paraId="5EA17FC0">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（4）乙方应向甲方操作人员提供必要的技术培训。</w:t>
      </w:r>
    </w:p>
    <w:p w14:paraId="1D311A74">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八</w:t>
      </w:r>
      <w:r>
        <w:rPr>
          <w:rFonts w:hint="eastAsia" w:ascii="宋体" w:hAnsi="宋体" w:cs="宋体"/>
          <w:b/>
          <w:bCs/>
          <w:color w:val="auto"/>
          <w:szCs w:val="21"/>
          <w:highlight w:val="none"/>
        </w:rPr>
        <w:t>、售后服务及培训</w:t>
      </w:r>
    </w:p>
    <w:p w14:paraId="7D9E172F">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.1货物发生故障接到甲方通知</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小时内及时响应，</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个工作日内采取有效的补救措施。具有本地化售后服务机构，专用工具、备品备件充足。</w:t>
      </w:r>
    </w:p>
    <w:p w14:paraId="4885676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.2交货验收合格后乙方承诺对甲方技术人员提供常规培训及技术指导，确保被培训人员熟练掌握日常清洁、货物保养、技术操作等相关内容，相关费用包含在合同总价中。</w:t>
      </w:r>
    </w:p>
    <w:p w14:paraId="31540B2A">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九</w:t>
      </w:r>
      <w:r>
        <w:rPr>
          <w:rFonts w:hint="eastAsia" w:ascii="宋体" w:hAnsi="宋体" w:cs="宋体"/>
          <w:b/>
          <w:bCs/>
          <w:color w:val="auto"/>
          <w:szCs w:val="21"/>
          <w:highlight w:val="none"/>
        </w:rPr>
        <w:t>、质量保证</w:t>
      </w:r>
    </w:p>
    <w:p w14:paraId="54A1D8BF">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1乙方应保证所供货物是全新的、未使用过的，并完全符合合同规定的质量、规格、技术指标（包括合同附件）等要求。乙方应保证其货物在正确安装、正常使用和保养条件下，在其使用寿命内应具有满意的性能。在货物最终验收后的质量保证期内，乙方应对由于设计、工艺或材料的缺陷而产生的故障负责。质保期满后如出现此类问题亦应负责。</w:t>
      </w:r>
    </w:p>
    <w:p w14:paraId="5875BB2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.2在质量保证期内，如果发现货物的质量、规格、技术指标等存在与合同中任何一项不符，甲方应在60日内以书面形式向乙方提出索赔，同时应向政府采购管理部门报告。</w:t>
      </w:r>
    </w:p>
    <w:p w14:paraId="7E8CBCEE">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.3乙方在收到甲方的通知后，应在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none"/>
          <w:lang w:eastAsia="zh-CN"/>
        </w:rPr>
        <w:t>小时</w:t>
      </w:r>
      <w:r>
        <w:rPr>
          <w:rFonts w:hint="eastAsia" w:ascii="宋体" w:hAnsi="宋体" w:cs="宋体"/>
          <w:color w:val="auto"/>
          <w:szCs w:val="21"/>
          <w:highlight w:val="none"/>
        </w:rPr>
        <w:t>内响应，免费维修或更换有缺陷的货物或部件，并相应延长保修期限。</w:t>
      </w:r>
    </w:p>
    <w:p w14:paraId="4A87F19D">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4如果乙方在收到通知后，没有在上述合同条款中规定的时限内及时弥补缺陷，甲方可采取必要的补救措施，但其风险和费用将由乙方承担，甲方根据合同规定对乙方行使的其它权力不受影响。甲方亦可根据乙方提供的质保函进行索赔。</w:t>
      </w:r>
    </w:p>
    <w:p w14:paraId="7EC431B2">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十、违约责任及赔偿损失的计算办法</w:t>
      </w:r>
    </w:p>
    <w:p w14:paraId="564DD7D2">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.1合同一方不履行合同义务、履行合同义务不符合约定或者违反合同项下所作保证的，应向对方承担继续履行、采取修理、更换、退货等补救措施或者赔偿损失等违约责任。</w:t>
      </w:r>
    </w:p>
    <w:p w14:paraId="0AD65C11">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0</w:t>
      </w:r>
      <w:r>
        <w:rPr>
          <w:rFonts w:hint="eastAsia" w:ascii="宋体" w:hAnsi="宋体" w:cs="宋体"/>
          <w:color w:val="auto"/>
          <w:szCs w:val="21"/>
          <w:highlight w:val="none"/>
        </w:rPr>
        <w:t>.2乙方未能按时交付合同货物（包括仅迟延交付技术资料但足以导致合同货物安装、调试、考核、验收工作推迟的）的，应向甲方支付迟延交付违约金。每天迟延交付违约金为迟交合同货物价格的</w:t>
      </w:r>
      <w:r>
        <w:rPr>
          <w:rFonts w:hint="eastAsia" w:ascii="宋体" w:hAnsi="宋体" w:cs="宋体"/>
          <w:b/>
          <w:bCs/>
          <w:color w:val="auto"/>
          <w:szCs w:val="21"/>
          <w:highlight w:val="none"/>
          <w:u w:val="single"/>
          <w:lang w:val="en-US" w:eastAsia="zh-CN"/>
        </w:rPr>
        <w:t xml:space="preserve">    </w:t>
      </w:r>
      <w:r>
        <w:rPr>
          <w:rFonts w:hint="eastAsia" w:ascii="宋体" w:hAnsi="宋体" w:cs="宋体"/>
          <w:b/>
          <w:bCs/>
          <w:color w:val="auto"/>
          <w:szCs w:val="21"/>
          <w:highlight w:val="none"/>
        </w:rPr>
        <w:t>。</w:t>
      </w:r>
      <w:r>
        <w:rPr>
          <w:rFonts w:hint="eastAsia" w:ascii="宋体" w:hAnsi="宋体" w:cs="宋体"/>
          <w:color w:val="auto"/>
          <w:szCs w:val="21"/>
          <w:highlight w:val="none"/>
        </w:rPr>
        <w:t>在计算迟延交付违约金时，迟交不足一天的按一天计算。</w:t>
      </w:r>
    </w:p>
    <w:p w14:paraId="2AD635C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迟延交付违约金的支付不能免除乙方继续交付相关合同货物的义务，但如迟延交付必然导致合同货物安装、调试、考核、验收工作推迟的，相关工作应相应顺延。</w:t>
      </w:r>
    </w:p>
    <w:p w14:paraId="4C6D4FE2">
      <w:pPr>
        <w:pageBreakBefore w:val="0"/>
        <w:kinsoku/>
        <w:overflowPunct/>
        <w:topLinePunct w:val="0"/>
        <w:bidi w:val="0"/>
        <w:spacing w:beforeAutospacing="0" w:afterAutospacing="0" w:line="440" w:lineRule="exact"/>
        <w:ind w:left="0" w:leftChars="0" w:right="0"/>
        <w:rPr>
          <w:rFonts w:hint="eastAsia" w:ascii="宋体" w:hAnsi="宋体" w:cs="宋体"/>
          <w:color w:val="auto"/>
          <w:szCs w:val="21"/>
          <w:highlight w:val="none"/>
        </w:rPr>
      </w:pPr>
      <w:r>
        <w:rPr>
          <w:rFonts w:hint="eastAsia" w:ascii="宋体" w:hAnsi="宋体" w:cs="宋体"/>
          <w:b/>
          <w:bCs/>
          <w:color w:val="auto"/>
          <w:szCs w:val="21"/>
          <w:highlight w:val="none"/>
        </w:rPr>
        <w:t>十</w:t>
      </w:r>
      <w:r>
        <w:rPr>
          <w:rFonts w:hint="eastAsia" w:ascii="宋体" w:hAnsi="宋体" w:cs="宋体"/>
          <w:b/>
          <w:bCs/>
          <w:color w:val="auto"/>
          <w:szCs w:val="21"/>
          <w:highlight w:val="none"/>
          <w:lang w:val="en-US" w:eastAsia="zh-CN"/>
        </w:rPr>
        <w:t>一</w:t>
      </w:r>
      <w:r>
        <w:rPr>
          <w:rFonts w:hint="eastAsia" w:ascii="宋体" w:hAnsi="宋体" w:cs="宋体"/>
          <w:b/>
          <w:bCs/>
          <w:color w:val="auto"/>
          <w:szCs w:val="21"/>
          <w:highlight w:val="none"/>
        </w:rPr>
        <w:t>、合同变更、解除及终止的条件</w:t>
      </w:r>
    </w:p>
    <w:p w14:paraId="7F818D7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.1本合同在执行过程中，如合同一方提出修改，须报政府采购管理部门同意后，由甲、乙双方签署书面修改协议，并成为本合同不可分割的一部分。除此之外，本合同的条件不得有任何变化或修改。</w:t>
      </w:r>
    </w:p>
    <w:p w14:paraId="7FED0C41">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.2有下述情形之一，当事人可发出书面通知全部或部分地解除合同，合同自通知到达对方时全部或部分地解除：</w:t>
      </w:r>
    </w:p>
    <w:p w14:paraId="5350BA0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（1）乙方迟延交付合同货物超过</w:t>
      </w:r>
      <w:r>
        <w:rPr>
          <w:rFonts w:hint="eastAsia" w:ascii="宋体" w:hAnsi="宋体" w:cs="宋体"/>
          <w:b/>
          <w:bCs/>
          <w:color w:val="auto"/>
          <w:szCs w:val="21"/>
          <w:highlight w:val="none"/>
          <w:u w:val="single"/>
          <w:lang w:val="en-US" w:eastAsia="zh-CN"/>
        </w:rPr>
        <w:t xml:space="preserve">     </w:t>
      </w:r>
      <w:r>
        <w:rPr>
          <w:rFonts w:hint="eastAsia" w:ascii="宋体" w:hAnsi="宋体" w:cs="宋体"/>
          <w:color w:val="auto"/>
          <w:szCs w:val="21"/>
          <w:highlight w:val="none"/>
        </w:rPr>
        <w:t>；</w:t>
      </w:r>
    </w:p>
    <w:p w14:paraId="1EB037B6">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（2）合同一方当事人未能履行合同项下任何其它义务（细微义务除外），或在未事先征得另一方当事人同意的情况下，从事任何可能在实质上不利影响其履行合同能力的活动，经另一方当事人书面通知后</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u w:val="single"/>
          <w:lang w:val="en-US" w:eastAsia="zh-CN"/>
        </w:rPr>
        <w:t xml:space="preserve">   </w:t>
      </w:r>
      <w:r>
        <w:rPr>
          <w:rFonts w:hint="eastAsia" w:ascii="宋体" w:hAnsi="宋体" w:cs="宋体"/>
          <w:b/>
          <w:bCs/>
          <w:color w:val="auto"/>
          <w:szCs w:val="21"/>
          <w:highlight w:val="none"/>
          <w:u w:val="single"/>
        </w:rPr>
        <w:t xml:space="preserve"> </w:t>
      </w:r>
      <w:r>
        <w:rPr>
          <w:rFonts w:hint="eastAsia" w:ascii="宋体" w:hAnsi="宋体" w:cs="宋体"/>
          <w:color w:val="auto"/>
          <w:szCs w:val="21"/>
          <w:highlight w:val="none"/>
        </w:rPr>
        <w:t>日内未能对其行为作出补救；</w:t>
      </w:r>
    </w:p>
    <w:p w14:paraId="30CCD255">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（3）合同一方当事人出现破产、清算、资不抵债、成为失信被执行人等可能丧失履约能力的情形，且未能提供令对方满意的履约保证金。</w:t>
      </w:r>
    </w:p>
    <w:p w14:paraId="48D9D97C">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.3在乙方违约的情况下，甲方报告政府采购管理部门后，有权终止合同，并依法向乙方进行索赔实际损失（包括但不限于维权所支出的律师费、诉讼费、交通费等）。</w:t>
      </w:r>
    </w:p>
    <w:p w14:paraId="08431BB0">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十</w:t>
      </w:r>
      <w:r>
        <w:rPr>
          <w:rFonts w:hint="eastAsia" w:ascii="宋体" w:hAnsi="宋体" w:cs="宋体"/>
          <w:b/>
          <w:bCs/>
          <w:color w:val="auto"/>
          <w:szCs w:val="21"/>
          <w:highlight w:val="none"/>
          <w:lang w:val="en-US" w:eastAsia="zh-CN"/>
        </w:rPr>
        <w:t>二</w:t>
      </w:r>
      <w:r>
        <w:rPr>
          <w:rFonts w:hint="eastAsia" w:ascii="宋体" w:hAnsi="宋体" w:cs="宋体"/>
          <w:b/>
          <w:bCs/>
          <w:color w:val="auto"/>
          <w:szCs w:val="21"/>
          <w:highlight w:val="none"/>
        </w:rPr>
        <w:t>、验收方式</w:t>
      </w:r>
    </w:p>
    <w:p w14:paraId="0D2A1D63">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12.1验收目的：确保采购货物符合合同约定的技术、质量、数量等要求，保障财政资金使用效益，维护采购双方合法权益。</w:t>
      </w:r>
    </w:p>
    <w:p w14:paraId="586AB164">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12.2验收依据：</w:t>
      </w:r>
    </w:p>
    <w:p w14:paraId="52B502FE">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《中华人民共和国政府采购法》及其实施条例；</w:t>
      </w:r>
    </w:p>
    <w:p w14:paraId="284C3B6A">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《政府采购货物和服务招标投标管理办法》（财政部令第87号）；</w:t>
      </w:r>
    </w:p>
    <w:p w14:paraId="6F03B26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采购合同及招标文件、投标文件；</w:t>
      </w:r>
    </w:p>
    <w:p w14:paraId="5902366A">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国家相关标准、行业规范及产品明示质量指标；</w:t>
      </w:r>
    </w:p>
    <w:p w14:paraId="496EEA21">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eastAsiaTheme="minorEastAsia"/>
          <w:color w:val="auto"/>
          <w:szCs w:val="21"/>
          <w:highlight w:val="none"/>
          <w:lang w:val="en-US" w:eastAsia="zh-CN"/>
        </w:rPr>
      </w:pPr>
      <w:r>
        <w:rPr>
          <w:rFonts w:hint="eastAsia" w:ascii="宋体" w:hAnsi="宋体" w:cs="宋体"/>
          <w:color w:val="auto"/>
          <w:szCs w:val="21"/>
          <w:highlight w:val="none"/>
        </w:rPr>
        <w:t>验收清单（注明各部件的品名、数量、规格型号和原产地或生产厂家）</w:t>
      </w:r>
      <w:r>
        <w:rPr>
          <w:rFonts w:hint="eastAsia" w:ascii="宋体" w:hAnsi="宋体" w:cs="宋体"/>
          <w:color w:val="auto"/>
          <w:szCs w:val="21"/>
          <w:highlight w:val="none"/>
          <w:lang w:eastAsia="zh-CN"/>
        </w:rPr>
        <w:t>。</w:t>
      </w:r>
    </w:p>
    <w:p w14:paraId="09947CE2">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12.3验收主体</w:t>
      </w:r>
    </w:p>
    <w:p w14:paraId="5B74FCA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由采购人成立验收小组，负责验收事宜。验收小组由熟悉项目需求人员（2人）、财务人员（1人）等组成，人数为3人以上单数。职责分工：采购人代表负责组织协调；中标单位配合验收。</w:t>
      </w:r>
    </w:p>
    <w:p w14:paraId="60E28114">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12.4验收时间与地点</w:t>
      </w:r>
    </w:p>
    <w:p w14:paraId="1919A81B">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验收时间：供应商完成供货后提交验收申请，采购人应在收到申请后7日内组织验收。</w:t>
      </w:r>
    </w:p>
    <w:p w14:paraId="4B273B5A">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验收地点：货物交付地点或采购人指定地点。</w:t>
      </w:r>
    </w:p>
    <w:p w14:paraId="023C902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12.5验收内容</w:t>
      </w:r>
    </w:p>
    <w:p w14:paraId="727A797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（1）货物数量：核对实际到货数量与合同约定数量是否一致。</w:t>
      </w:r>
    </w:p>
    <w:p w14:paraId="7047030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（2）货物规格型号：检查货物的规格、型号、配置等是否与合同及招标文件要求相符。</w:t>
      </w:r>
    </w:p>
    <w:p w14:paraId="46C3177B">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（3）货物质量：依据国家相关标准、行业规范及合同约定的质量标准，对货物的外观、性能、安全性、可靠性等进行检验，可要求供应商提供出厂检测报告、质量合格证等证明材料。</w:t>
      </w:r>
    </w:p>
    <w:p w14:paraId="4A6B780D">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（4）技术指标：对货物的技术参数、功能特性等进行测试和验证，确保符合合同规定。</w:t>
      </w:r>
    </w:p>
    <w:p w14:paraId="5732B4A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12.6档案归档：采购人在项目履约验收完成后7个工作日内完成公示信息整理，并在陕西省政府采购网进行公示，并将验收方案、验收申请表、验收记录表、整改通知书、异议处理文件、公示截图等资料整理归档</w:t>
      </w:r>
      <w:r>
        <w:rPr>
          <w:rFonts w:hint="eastAsia" w:ascii="仿宋" w:hAnsi="仿宋" w:eastAsia="仿宋" w:cs="仿宋"/>
          <w:color w:val="000000"/>
          <w:sz w:val="28"/>
          <w:szCs w:val="28"/>
          <w:lang w:val="en-US" w:eastAsia="zh-CN"/>
        </w:rPr>
        <w:t>。</w:t>
      </w:r>
    </w:p>
    <w:p w14:paraId="4561F602">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十</w:t>
      </w:r>
      <w:r>
        <w:rPr>
          <w:rFonts w:hint="eastAsia" w:ascii="宋体" w:hAnsi="宋体" w:cs="宋体"/>
          <w:b/>
          <w:bCs/>
          <w:color w:val="auto"/>
          <w:szCs w:val="21"/>
          <w:highlight w:val="none"/>
          <w:lang w:val="en-US" w:eastAsia="zh-CN"/>
        </w:rPr>
        <w:t>三</w:t>
      </w:r>
      <w:r>
        <w:rPr>
          <w:rFonts w:hint="eastAsia" w:ascii="宋体" w:hAnsi="宋体" w:cs="宋体"/>
          <w:b/>
          <w:bCs/>
          <w:color w:val="auto"/>
          <w:szCs w:val="21"/>
          <w:highlight w:val="none"/>
        </w:rPr>
        <w:t>、保密约定</w:t>
      </w:r>
    </w:p>
    <w:p w14:paraId="479F9104">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.1合同双方应对因履行合同而取得的另一方当事人的信息、资料等予以保密。未经另一方当事人书面同意，任何一方均不得为与履行合同无关的目的使用或向第三方披露另一方当事人提供的信息、资料。</w:t>
      </w:r>
    </w:p>
    <w:p w14:paraId="4E39E7C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.2合同当事人的保密义务不适用于下列信息：</w:t>
      </w:r>
    </w:p>
    <w:p w14:paraId="40C7DEDE">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（1）非因接受信息一方的过失现在或以后进入公共领域的信息；</w:t>
      </w:r>
    </w:p>
    <w:p w14:paraId="4C7DBDF2">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（2）接受信息一方当事人合法地从第三方获得并且据其善意了解第三方也不对此承担保密义务的信息；</w:t>
      </w:r>
    </w:p>
    <w:p w14:paraId="62CB942B">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（3）法律或法律的执行要求披露的信息。</w:t>
      </w:r>
    </w:p>
    <w:p w14:paraId="05B9C77B">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十</w:t>
      </w:r>
      <w:r>
        <w:rPr>
          <w:rFonts w:hint="eastAsia" w:ascii="宋体" w:hAnsi="宋体" w:cs="宋体"/>
          <w:b/>
          <w:bCs/>
          <w:color w:val="auto"/>
          <w:szCs w:val="21"/>
          <w:highlight w:val="none"/>
          <w:lang w:val="en-US" w:eastAsia="zh-CN"/>
        </w:rPr>
        <w:t>四</w:t>
      </w:r>
      <w:r>
        <w:rPr>
          <w:rFonts w:hint="eastAsia" w:ascii="宋体" w:hAnsi="宋体" w:cs="宋体"/>
          <w:b/>
          <w:bCs/>
          <w:color w:val="auto"/>
          <w:szCs w:val="21"/>
          <w:highlight w:val="none"/>
        </w:rPr>
        <w:t>、合同争议解决方式</w:t>
      </w:r>
    </w:p>
    <w:p w14:paraId="33FD0BE9">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因执行本合同所发生的或与本合同有关的一切争议,双方应通过友好协商解决，协商不成的可依法向甲方所在地人民法院起诉。</w:t>
      </w:r>
    </w:p>
    <w:p w14:paraId="1F99E308">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十</w:t>
      </w:r>
      <w:r>
        <w:rPr>
          <w:rFonts w:hint="eastAsia" w:ascii="宋体" w:hAnsi="宋体" w:cs="宋体"/>
          <w:b/>
          <w:bCs/>
          <w:color w:val="auto"/>
          <w:szCs w:val="21"/>
          <w:highlight w:val="none"/>
          <w:lang w:val="en-US" w:eastAsia="zh-CN"/>
        </w:rPr>
        <w:t>五</w:t>
      </w:r>
      <w:r>
        <w:rPr>
          <w:rFonts w:hint="eastAsia" w:ascii="宋体" w:hAnsi="宋体" w:cs="宋体"/>
          <w:b/>
          <w:bCs/>
          <w:color w:val="auto"/>
          <w:szCs w:val="21"/>
          <w:highlight w:val="none"/>
        </w:rPr>
        <w:t>、不可抗力情况下的免责约定</w:t>
      </w:r>
    </w:p>
    <w:p w14:paraId="5369A3B4">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28日内将有关当局或机构出具的证明文件提交给另一方当事人。</w:t>
      </w:r>
    </w:p>
    <w:p w14:paraId="1676C632">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.2受不可抗力事件影响的一方当事人对于不可抗力事件导致的任何合同义务的迟延履行或不能履行不承担违约责任。但该方当事人应尽快将不可抗力事件结束或消除的情况通知另一方当事人。</w:t>
      </w:r>
    </w:p>
    <w:p w14:paraId="3181E6A4">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.3双方当事人应在不可抗力事件结束或其影响消除后立即继续履行其合同义务，合同期限也应相应顺延。如果不可抗力事件的影响持续超过</w:t>
      </w:r>
      <w:r>
        <w:rPr>
          <w:rFonts w:hint="eastAsia" w:ascii="宋体" w:hAnsi="宋体" w:cs="宋体"/>
          <w:b/>
          <w:bCs/>
          <w:color w:val="auto"/>
          <w:szCs w:val="21"/>
          <w:highlight w:val="none"/>
          <w:u w:val="single"/>
        </w:rPr>
        <w:t xml:space="preserve"> 90 </w:t>
      </w:r>
      <w:r>
        <w:rPr>
          <w:rFonts w:hint="eastAsia" w:ascii="宋体" w:hAnsi="宋体" w:cs="宋体"/>
          <w:color w:val="auto"/>
          <w:szCs w:val="21"/>
          <w:highlight w:val="none"/>
        </w:rPr>
        <w:t>日，则任何一方当事人均有权以书面通知解除合同。</w:t>
      </w:r>
    </w:p>
    <w:p w14:paraId="0CAC721D">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十</w:t>
      </w:r>
      <w:r>
        <w:rPr>
          <w:rFonts w:hint="eastAsia" w:ascii="宋体" w:hAnsi="宋体" w:cs="宋体"/>
          <w:b/>
          <w:bCs/>
          <w:color w:val="auto"/>
          <w:szCs w:val="21"/>
          <w:highlight w:val="none"/>
          <w:lang w:val="en-US" w:eastAsia="zh-CN"/>
        </w:rPr>
        <w:t>六</w:t>
      </w:r>
      <w:r>
        <w:rPr>
          <w:rFonts w:hint="eastAsia" w:ascii="宋体" w:hAnsi="宋体" w:cs="宋体"/>
          <w:b/>
          <w:bCs/>
          <w:color w:val="auto"/>
          <w:szCs w:val="21"/>
          <w:highlight w:val="none"/>
        </w:rPr>
        <w:t>、生效条件、订立日期</w:t>
      </w:r>
    </w:p>
    <w:p w14:paraId="1E0DE724">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.1本合同在甲、乙双方签字、盖章之后生效。</w:t>
      </w:r>
    </w:p>
    <w:p w14:paraId="50D3AB96">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.2本合同正本一式二份，副本一式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份，均以中文书写。甲方执正本一份、副本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份；乙方执正本一份，副本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份；见证方执副本一份；政府采购管理部门备案副本一份。</w:t>
      </w:r>
    </w:p>
    <w:p w14:paraId="0B17AA7C">
      <w:pPr>
        <w:pageBreakBefore w:val="0"/>
        <w:kinsoku/>
        <w:overflowPunct/>
        <w:topLinePunct w:val="0"/>
        <w:bidi w:val="0"/>
        <w:spacing w:beforeAutospacing="0" w:afterAutospacing="0" w:line="440" w:lineRule="exact"/>
        <w:ind w:left="0" w:leftChars="0" w:right="0"/>
        <w:rPr>
          <w:rFonts w:hint="eastAsia" w:ascii="宋体" w:hAnsi="宋体" w:cs="宋体"/>
          <w:b/>
          <w:bCs/>
          <w:color w:val="auto"/>
          <w:szCs w:val="21"/>
          <w:highlight w:val="none"/>
        </w:rPr>
      </w:pPr>
      <w:r>
        <w:rPr>
          <w:rFonts w:hint="eastAsia" w:ascii="宋体" w:hAnsi="宋体" w:cs="宋体"/>
          <w:b/>
          <w:bCs/>
          <w:color w:val="auto"/>
          <w:szCs w:val="21"/>
          <w:highlight w:val="none"/>
        </w:rPr>
        <w:t>十</w:t>
      </w:r>
      <w:r>
        <w:rPr>
          <w:rFonts w:hint="eastAsia" w:ascii="宋体" w:hAnsi="宋体" w:cs="宋体"/>
          <w:b/>
          <w:bCs/>
          <w:color w:val="auto"/>
          <w:szCs w:val="21"/>
          <w:highlight w:val="none"/>
          <w:lang w:val="en-US" w:eastAsia="zh-CN"/>
        </w:rPr>
        <w:t>七</w:t>
      </w:r>
      <w:r>
        <w:rPr>
          <w:rFonts w:hint="eastAsia" w:ascii="宋体" w:hAnsi="宋体" w:cs="宋体"/>
          <w:b/>
          <w:bCs/>
          <w:color w:val="auto"/>
          <w:szCs w:val="21"/>
          <w:highlight w:val="none"/>
        </w:rPr>
        <w:t>、其他事项</w:t>
      </w:r>
    </w:p>
    <w:p w14:paraId="0232518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合同其他事项双方另行协商补充：</w:t>
      </w:r>
      <w:r>
        <w:rPr>
          <w:rFonts w:hint="eastAsia" w:ascii="宋体" w:hAnsi="宋体" w:cs="宋体"/>
          <w:color w:val="auto"/>
          <w:szCs w:val="21"/>
          <w:highlight w:val="none"/>
          <w:u w:val="single"/>
        </w:rPr>
        <w:t xml:space="preserve">                /                  </w:t>
      </w:r>
    </w:p>
    <w:p w14:paraId="413396F8">
      <w:pPr>
        <w:pageBreakBefore w:val="0"/>
        <w:kinsoku/>
        <w:overflowPunct/>
        <w:topLinePunct w:val="0"/>
        <w:bidi w:val="0"/>
        <w:spacing w:beforeAutospacing="0" w:afterAutospacing="0" w:line="440" w:lineRule="exact"/>
        <w:ind w:left="0" w:leftChars="0" w:right="0" w:firstLine="420" w:firstLineChars="200"/>
        <w:rPr>
          <w:rFonts w:hint="eastAsia" w:ascii="宋体" w:hAnsi="宋体" w:cs="宋体"/>
          <w:color w:val="auto"/>
          <w:szCs w:val="21"/>
          <w:highlight w:val="none"/>
        </w:rPr>
      </w:pPr>
    </w:p>
    <w:p w14:paraId="03046C21">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79076F36">
      <w:pPr>
        <w:pageBreakBefore w:val="0"/>
        <w:kinsoku/>
        <w:overflowPunct/>
        <w:topLinePunct w:val="0"/>
        <w:bidi w:val="0"/>
        <w:spacing w:beforeAutospacing="0" w:afterAutospacing="0" w:line="440" w:lineRule="exact"/>
        <w:ind w:left="0" w:leftChars="0" w:right="0"/>
        <w:rPr>
          <w:rFonts w:hint="eastAsia" w:ascii="宋体" w:hAnsi="宋体" w:cs="宋体"/>
          <w:color w:val="auto"/>
          <w:szCs w:val="21"/>
          <w:highlight w:val="none"/>
        </w:rPr>
      </w:pPr>
      <w:r>
        <w:rPr>
          <w:rFonts w:hint="eastAsia" w:ascii="宋体" w:hAnsi="宋体" w:cs="宋体"/>
          <w:color w:val="auto"/>
          <w:szCs w:val="21"/>
          <w:highlight w:val="none"/>
        </w:rPr>
        <w:t>（此后无正文）</w:t>
      </w:r>
    </w:p>
    <w:p w14:paraId="6276CB2A">
      <w:pPr>
        <w:pageBreakBefore w:val="0"/>
        <w:kinsoku/>
        <w:overflowPunct/>
        <w:topLinePunct w:val="0"/>
        <w:bidi w:val="0"/>
        <w:spacing w:beforeAutospacing="0" w:afterAutospacing="0" w:line="440" w:lineRule="exact"/>
        <w:ind w:left="0" w:leftChars="0" w:right="0"/>
        <w:rPr>
          <w:rFonts w:hint="eastAsia" w:ascii="宋体" w:hAnsi="宋体" w:cs="宋体"/>
          <w:color w:val="auto"/>
          <w:szCs w:val="21"/>
          <w:highlight w:val="none"/>
        </w:rPr>
      </w:pPr>
      <w:r>
        <w:rPr>
          <w:rFonts w:hint="eastAsia" w:ascii="宋体" w:hAnsi="宋体" w:cs="宋体"/>
          <w:color w:val="auto"/>
          <w:szCs w:val="21"/>
          <w:highlight w:val="none"/>
        </w:rPr>
        <w:t>签章页：</w:t>
      </w:r>
    </w:p>
    <w:tbl>
      <w:tblPr>
        <w:tblStyle w:val="2"/>
        <w:tblW w:w="4944"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55"/>
        <w:gridCol w:w="4172"/>
      </w:tblGrid>
      <w:tr w14:paraId="4F7E1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24" w:type="pct"/>
            <w:noWrap/>
            <w:vAlign w:val="center"/>
          </w:tcPr>
          <w:p w14:paraId="2B139CFE">
            <w:pPr>
              <w:pageBreakBefore w:val="0"/>
              <w:kinsoku/>
              <w:overflowPunct/>
              <w:topLinePunct w:val="0"/>
              <w:bidi w:val="0"/>
              <w:spacing w:beforeAutospacing="0" w:afterAutospacing="0" w:line="440" w:lineRule="exact"/>
              <w:ind w:left="0" w:leftChars="0" w:right="0"/>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甲  方</w:t>
            </w:r>
          </w:p>
        </w:tc>
        <w:tc>
          <w:tcPr>
            <w:tcW w:w="2475" w:type="pct"/>
            <w:noWrap/>
            <w:vAlign w:val="center"/>
          </w:tcPr>
          <w:p w14:paraId="4FA7C80B">
            <w:pPr>
              <w:pageBreakBefore w:val="0"/>
              <w:kinsoku/>
              <w:overflowPunct/>
              <w:topLinePunct w:val="0"/>
              <w:bidi w:val="0"/>
              <w:spacing w:beforeAutospacing="0" w:afterAutospacing="0" w:line="440" w:lineRule="exact"/>
              <w:ind w:left="0" w:leftChars="0" w:right="0"/>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乙  方</w:t>
            </w:r>
          </w:p>
        </w:tc>
      </w:tr>
      <w:tr w14:paraId="77EC9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651F4290">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（公章）</w:t>
            </w:r>
          </w:p>
        </w:tc>
        <w:tc>
          <w:tcPr>
            <w:tcW w:w="2475" w:type="pct"/>
            <w:noWrap/>
            <w:vAlign w:val="center"/>
          </w:tcPr>
          <w:p w14:paraId="19A7E5A7">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（公章）</w:t>
            </w:r>
          </w:p>
        </w:tc>
      </w:tr>
      <w:tr w14:paraId="012531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2452F7F8">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地址：</w:t>
            </w:r>
          </w:p>
        </w:tc>
        <w:tc>
          <w:tcPr>
            <w:tcW w:w="2475" w:type="pct"/>
            <w:noWrap/>
            <w:vAlign w:val="center"/>
          </w:tcPr>
          <w:p w14:paraId="10F5CA3B">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地址：</w:t>
            </w:r>
          </w:p>
        </w:tc>
      </w:tr>
      <w:tr w14:paraId="6D8FED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389C8DB6">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邮编：</w:t>
            </w:r>
          </w:p>
        </w:tc>
        <w:tc>
          <w:tcPr>
            <w:tcW w:w="2475" w:type="pct"/>
            <w:noWrap/>
            <w:vAlign w:val="center"/>
          </w:tcPr>
          <w:p w14:paraId="542CEB94">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邮编：</w:t>
            </w:r>
          </w:p>
        </w:tc>
      </w:tr>
      <w:tr w14:paraId="65767D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74D634FB">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法定代表人：</w:t>
            </w:r>
          </w:p>
        </w:tc>
        <w:tc>
          <w:tcPr>
            <w:tcW w:w="2475" w:type="pct"/>
            <w:noWrap/>
            <w:vAlign w:val="center"/>
          </w:tcPr>
          <w:p w14:paraId="1972C9A3">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法定代表人：</w:t>
            </w:r>
          </w:p>
        </w:tc>
      </w:tr>
      <w:tr w14:paraId="47116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08F62F5D">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负责人：</w:t>
            </w:r>
          </w:p>
        </w:tc>
        <w:tc>
          <w:tcPr>
            <w:tcW w:w="2475" w:type="pct"/>
            <w:noWrap/>
            <w:vAlign w:val="center"/>
          </w:tcPr>
          <w:p w14:paraId="17940489">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负责人：</w:t>
            </w:r>
          </w:p>
        </w:tc>
      </w:tr>
      <w:tr w14:paraId="2A2E0F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70CFB06E">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电话：</w:t>
            </w:r>
          </w:p>
        </w:tc>
        <w:tc>
          <w:tcPr>
            <w:tcW w:w="2475" w:type="pct"/>
            <w:noWrap/>
            <w:vAlign w:val="center"/>
          </w:tcPr>
          <w:p w14:paraId="61A4E981">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电话：</w:t>
            </w:r>
          </w:p>
        </w:tc>
      </w:tr>
      <w:tr w14:paraId="4BDFCC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11B94926">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p>
        </w:tc>
        <w:tc>
          <w:tcPr>
            <w:tcW w:w="2475" w:type="pct"/>
            <w:noWrap/>
            <w:vAlign w:val="center"/>
          </w:tcPr>
          <w:p w14:paraId="0C82BCF1">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开户银行：</w:t>
            </w:r>
          </w:p>
        </w:tc>
      </w:tr>
      <w:tr w14:paraId="6EFEE5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1906D94F">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p>
        </w:tc>
        <w:tc>
          <w:tcPr>
            <w:tcW w:w="2475" w:type="pct"/>
            <w:noWrap/>
            <w:vAlign w:val="center"/>
          </w:tcPr>
          <w:p w14:paraId="417DE3BD">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账号：</w:t>
            </w:r>
          </w:p>
        </w:tc>
      </w:tr>
      <w:tr w14:paraId="20233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524" w:type="pct"/>
            <w:noWrap/>
            <w:vAlign w:val="center"/>
          </w:tcPr>
          <w:p w14:paraId="6D25DC8D">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日期：   年   月   日</w:t>
            </w:r>
          </w:p>
        </w:tc>
        <w:tc>
          <w:tcPr>
            <w:tcW w:w="2475" w:type="pct"/>
            <w:noWrap/>
            <w:vAlign w:val="center"/>
          </w:tcPr>
          <w:p w14:paraId="135B35EC">
            <w:pPr>
              <w:pageBreakBefore w:val="0"/>
              <w:kinsoku/>
              <w:overflowPunct/>
              <w:topLinePunct w:val="0"/>
              <w:bidi w:val="0"/>
              <w:spacing w:beforeAutospacing="0" w:afterAutospacing="0" w:line="440" w:lineRule="exact"/>
              <w:ind w:left="0" w:leftChars="0" w:right="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日期：   年   月   日</w:t>
            </w:r>
          </w:p>
        </w:tc>
      </w:tr>
    </w:tbl>
    <w:p w14:paraId="1CF9F347">
      <w:pPr>
        <w:pStyle w:val="5"/>
        <w:rPr>
          <w:rFonts w:hint="eastAsia" w:ascii="仿宋_GB2312" w:hAnsi="仿宋_GB2312" w:eastAsia="仿宋_GB2312" w:cs="仿宋_GB2312"/>
          <w:lang w:val="en-US" w:eastAsia="zh-Hans"/>
        </w:rPr>
      </w:pPr>
    </w:p>
    <w:p w14:paraId="1F4F9C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9407E4"/>
    <w:rsid w:val="66856228"/>
    <w:rsid w:val="6B5F4579"/>
    <w:rsid w:val="6DD43F1E"/>
    <w:rsid w:val="783D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3786</Words>
  <Characters>3896</Characters>
  <Lines>0</Lines>
  <Paragraphs>0</Paragraphs>
  <TotalTime>3</TotalTime>
  <ScaleCrop>false</ScaleCrop>
  <LinksUpToDate>false</LinksUpToDate>
  <CharactersWithSpaces>4166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2025-12-04T10:24:00Z</dcterms:created>
  <dc:creator>Administrator</dc:creator>
  <cp:lastModifiedBy>可乐</cp:lastModifiedBy>
  <dcterms:modified xsi:type="dcterms:W3CDTF">2026-05-25T03:31:47Z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D3BF2AFDA3E54F879C0A0E58B6DF3CE5_13</vt:lpwstr>
  </property>
</Properties>
</file>