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版本号：ZX2026-07-1320260709001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雁塔校区东阶三楼四楼改造项目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ZX2026-07-13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雁塔校区东阶三楼四楼改造项目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ZX2026-07-13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雁塔校区东阶三楼四楼改造项目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雁塔校区东阶三楼四楼改造项目，1项。具体详见磋商文件第3章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采购包1（雁塔校区东阶三楼四楼改造项目）：属于专门面向中小企业采购。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3、施工资质：供应商须具备建筑工程施工总承包三级以上（含三级）资质或建筑装修装饰工程专业承包二级以上（含二级）资质，同时具备有效的安全生产许可证。</w:t>
      </w:r>
    </w:p>
    <w:p>
      <w:pPr>
        <w:pStyle w:val="null3"/>
      </w:pPr>
      <w:r>
        <w:rPr>
          <w:rFonts w:ascii="仿宋_GB2312" w:hAnsi="仿宋_GB2312" w:cs="仿宋_GB2312" w:eastAsia="仿宋_GB2312"/>
        </w:rPr>
        <w:t>4、项目负责人资质和专业要求：拟派项目经理具有建筑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5、陕西省建筑市场监管与诚信信息发布平台：供应商及供应商拟派项目经理须在“陕西省建筑市场监管与诚信信息发布平台”可查询。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刘汝樨 李雨 王宇轩 崔文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采购包1：1,718,000.00元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采购包1保证金金额：20,713.00元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完工的；（2）不能按合同履约；（3）项目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代理服务费收费标准：招标代理服务费参照国家计委颁布的《招标代理服务收费管理暂行办法》（计价格[2002]1980号）和（发改办价格[2011]534号）收费标准的90%，按照中标金额差额定率累进法计算。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11:00:00</w:t>
            </w:r>
          </w:p>
          <w:p>
            <w:pPr>
              <w:pStyle w:val="null3"/>
              <w:ind w:firstLine="975"/>
            </w:pPr>
            <w:r>
              <w:rPr>
                <w:rFonts w:ascii="仿宋_GB2312" w:hAnsi="仿宋_GB2312" w:cs="仿宋_GB2312" w:eastAsia="仿宋_GB2312"/>
              </w:rPr>
              <w:t>踏勘地点：雁塔校区东阶教学楼门口</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联系电话号码：13630215809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按磋商文件、成交供应商响应文件及合同约到执行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刘汝樨</w:t>
      </w:r>
    </w:p>
    <w:p>
      <w:pPr>
        <w:pStyle w:val="null3"/>
      </w:pPr>
      <w:r>
        <w:rPr>
          <w:rFonts w:ascii="仿宋_GB2312" w:hAnsi="仿宋_GB2312" w:cs="仿宋_GB2312" w:eastAsia="仿宋_GB2312"/>
        </w:rPr>
        <w:t>联系电话：029-88110800转8025</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1,718,000.00</w:t>
      </w:r>
    </w:p>
    <w:p>
      <w:pPr>
        <w:pStyle w:val="null3"/>
      </w:pPr>
      <w:r>
        <w:rPr>
          <w:rFonts w:ascii="仿宋_GB2312" w:hAnsi="仿宋_GB2312" w:cs="仿宋_GB2312" w:eastAsia="仿宋_GB2312"/>
        </w:rPr>
        <w:t>采购包最高限价（元）: 1,706,028.47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雁塔校区东阶三楼四楼改造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1,718,000.00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标的名称：雁塔校区东阶三楼四楼改造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（一）工程概况</w:t>
            </w:r>
          </w:p>
          <w:p>
            <w:pPr>
              <w:pStyle w:val="null3"/>
              <w:ind w:firstLine="400"/>
              <w:jc w:val="both"/>
            </w:pPr>
            <w:r>
              <w:rPr>
                <w:rFonts w:ascii="仿宋_GB2312" w:hAnsi="仿宋_GB2312" w:cs="仿宋_GB2312" w:eastAsia="仿宋_GB2312"/>
                <w:sz w:val="20"/>
              </w:rPr>
              <w:t>拟对西安石油大学雁塔校区东阶三楼四楼改造，改造总面积773平方米，三至四层室内改造（墙面、地面、吊顶等）、给排水及电气改造（含302实验室电量扩容及电路改造）、中央空调系统、四楼设备间壁挂机空调、更换断桥铝合金外窗、暖气片更换及新增、走廊更换钢制防火门等。满足边际油气开发技术研究院科研空间扩展需求，打造集前沿技术研发、人才培养、成果转化于一体的创新平台。改造后用于科研团队进驻、实验室建设及校企合作。</w:t>
            </w:r>
          </w:p>
          <w:p>
            <w:pPr>
              <w:pStyle w:val="null3"/>
              <w:ind w:firstLine="201"/>
              <w:jc w:val="both"/>
            </w:pPr>
            <w:r>
              <w:rPr>
                <w:rFonts w:ascii="仿宋_GB2312" w:hAnsi="仿宋_GB2312" w:cs="仿宋_GB2312" w:eastAsia="仿宋_GB2312"/>
                <w:sz w:val="20"/>
                <w:b/>
              </w:rPr>
              <w:t>（二）标准要求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《民用建筑电气设计标准》   GB51348-2019</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《供配电系统设计规范》GB50052-2009</w:t>
            </w:r>
          </w:p>
          <w:p>
            <w:pPr>
              <w:pStyle w:val="null3"/>
              <w:ind w:firstLine="400"/>
              <w:jc w:val="both"/>
            </w:pPr>
            <w:r>
              <w:rPr>
                <w:rFonts w:ascii="仿宋_GB2312" w:hAnsi="仿宋_GB2312" w:cs="仿宋_GB2312" w:eastAsia="仿宋_GB2312"/>
                <w:sz w:val="20"/>
              </w:rPr>
              <w:t>1.3</w:t>
            </w:r>
            <w:r>
              <w:rPr>
                <w:rFonts w:ascii="仿宋_GB2312" w:hAnsi="仿宋_GB2312" w:cs="仿宋_GB2312" w:eastAsia="仿宋_GB2312"/>
                <w:sz w:val="20"/>
              </w:rPr>
              <w:t>《建筑照明设计标准》 GB50034-2013</w:t>
            </w:r>
          </w:p>
          <w:p>
            <w:pPr>
              <w:pStyle w:val="null3"/>
              <w:ind w:firstLine="400"/>
              <w:jc w:val="both"/>
            </w:pPr>
            <w:r>
              <w:rPr>
                <w:rFonts w:ascii="仿宋_GB2312" w:hAnsi="仿宋_GB2312" w:cs="仿宋_GB2312" w:eastAsia="仿宋_GB2312"/>
                <w:sz w:val="20"/>
              </w:rPr>
              <w:t>1.4</w:t>
            </w:r>
            <w:r>
              <w:rPr>
                <w:rFonts w:ascii="仿宋_GB2312" w:hAnsi="仿宋_GB2312" w:cs="仿宋_GB2312" w:eastAsia="仿宋_GB2312"/>
                <w:sz w:val="20"/>
              </w:rPr>
              <w:t>《消防设施通用规范》   GB55036-2022</w:t>
            </w:r>
          </w:p>
          <w:p>
            <w:pPr>
              <w:pStyle w:val="null3"/>
              <w:ind w:firstLine="400"/>
              <w:jc w:val="both"/>
            </w:pPr>
            <w:r>
              <w:rPr>
                <w:rFonts w:ascii="仿宋_GB2312" w:hAnsi="仿宋_GB2312" w:cs="仿宋_GB2312" w:eastAsia="仿宋_GB2312"/>
                <w:sz w:val="20"/>
              </w:rPr>
              <w:t>1.5</w:t>
            </w:r>
            <w:r>
              <w:rPr>
                <w:rFonts w:ascii="仿宋_GB2312" w:hAnsi="仿宋_GB2312" w:cs="仿宋_GB2312" w:eastAsia="仿宋_GB2312"/>
                <w:sz w:val="20"/>
              </w:rPr>
              <w:t>《教育建筑电气设计规范》   JGJ 310-2013</w:t>
            </w:r>
          </w:p>
          <w:p>
            <w:pPr>
              <w:pStyle w:val="null3"/>
              <w:ind w:firstLine="400"/>
              <w:jc w:val="both"/>
            </w:pPr>
            <w:r>
              <w:rPr>
                <w:rFonts w:ascii="仿宋_GB2312" w:hAnsi="仿宋_GB2312" w:cs="仿宋_GB2312" w:eastAsia="仿宋_GB2312"/>
                <w:sz w:val="20"/>
              </w:rPr>
              <w:t>1.6</w:t>
            </w:r>
            <w:r>
              <w:rPr>
                <w:rFonts w:ascii="仿宋_GB2312" w:hAnsi="仿宋_GB2312" w:cs="仿宋_GB2312" w:eastAsia="仿宋_GB2312"/>
                <w:sz w:val="20"/>
              </w:rPr>
              <w:t>《建筑装饰工程施工及验收规范》GB20210-2001</w:t>
            </w:r>
          </w:p>
          <w:p>
            <w:pPr>
              <w:pStyle w:val="null3"/>
              <w:ind w:firstLine="400"/>
              <w:jc w:val="both"/>
            </w:pPr>
            <w:r>
              <w:rPr>
                <w:rFonts w:ascii="仿宋_GB2312" w:hAnsi="仿宋_GB2312" w:cs="仿宋_GB2312" w:eastAsia="仿宋_GB2312"/>
                <w:sz w:val="20"/>
              </w:rPr>
              <w:t>1.7</w:t>
            </w:r>
            <w:r>
              <w:rPr>
                <w:rFonts w:ascii="仿宋_GB2312" w:hAnsi="仿宋_GB2312" w:cs="仿宋_GB2312" w:eastAsia="仿宋_GB2312"/>
                <w:sz w:val="20"/>
              </w:rPr>
              <w:t>《民用建筑供暖通风与空气调节设计规范》GB50736-2012</w:t>
            </w:r>
          </w:p>
          <w:p>
            <w:pPr>
              <w:pStyle w:val="null3"/>
              <w:ind w:firstLine="400"/>
              <w:jc w:val="both"/>
            </w:pPr>
            <w:r>
              <w:rPr>
                <w:rFonts w:ascii="仿宋_GB2312" w:hAnsi="仿宋_GB2312" w:cs="仿宋_GB2312" w:eastAsia="仿宋_GB2312"/>
                <w:sz w:val="20"/>
              </w:rPr>
              <w:t>1.8</w:t>
            </w:r>
            <w:r>
              <w:rPr>
                <w:rFonts w:ascii="仿宋_GB2312" w:hAnsi="仿宋_GB2312" w:cs="仿宋_GB2312" w:eastAsia="仿宋_GB2312"/>
                <w:sz w:val="20"/>
              </w:rPr>
              <w:t>《通风与空调工程施工质量验收规范》GB50243-2016</w:t>
            </w:r>
          </w:p>
          <w:p>
            <w:pPr>
              <w:pStyle w:val="null3"/>
              <w:ind w:firstLine="400"/>
              <w:jc w:val="both"/>
            </w:pPr>
            <w:r>
              <w:rPr>
                <w:rFonts w:ascii="仿宋_GB2312" w:hAnsi="仿宋_GB2312" w:cs="仿宋_GB2312" w:eastAsia="仿宋_GB2312"/>
                <w:sz w:val="20"/>
              </w:rPr>
              <w:t>1.9</w:t>
            </w:r>
            <w:r>
              <w:rPr>
                <w:rFonts w:ascii="仿宋_GB2312" w:hAnsi="仿宋_GB2312" w:cs="仿宋_GB2312" w:eastAsia="仿宋_GB2312"/>
                <w:sz w:val="20"/>
              </w:rPr>
              <w:t>《民用建筑设计统一标准》GB50352-2019</w:t>
            </w:r>
          </w:p>
          <w:p>
            <w:pPr>
              <w:pStyle w:val="null3"/>
              <w:ind w:firstLine="400"/>
              <w:jc w:val="both"/>
            </w:pPr>
            <w:r>
              <w:rPr>
                <w:rFonts w:ascii="仿宋_GB2312" w:hAnsi="仿宋_GB2312" w:cs="仿宋_GB2312" w:eastAsia="仿宋_GB2312"/>
                <w:sz w:val="20"/>
              </w:rPr>
              <w:t>1.10</w:t>
            </w:r>
            <w:r>
              <w:rPr>
                <w:rFonts w:ascii="仿宋_GB2312" w:hAnsi="仿宋_GB2312" w:cs="仿宋_GB2312" w:eastAsia="仿宋_GB2312"/>
                <w:sz w:val="20"/>
              </w:rPr>
              <w:t>《民用建筑通用规范》GB55031-2022</w:t>
            </w:r>
          </w:p>
          <w:p>
            <w:pPr>
              <w:pStyle w:val="null3"/>
              <w:ind w:firstLine="400"/>
              <w:jc w:val="both"/>
            </w:pPr>
            <w:r>
              <w:rPr>
                <w:rFonts w:ascii="仿宋_GB2312" w:hAnsi="仿宋_GB2312" w:cs="仿宋_GB2312" w:eastAsia="仿宋_GB2312"/>
                <w:sz w:val="20"/>
              </w:rPr>
              <w:t>1.11</w:t>
            </w:r>
            <w:r>
              <w:rPr>
                <w:rFonts w:ascii="仿宋_GB2312" w:hAnsi="仿宋_GB2312" w:cs="仿宋_GB2312" w:eastAsia="仿宋_GB2312"/>
                <w:sz w:val="20"/>
              </w:rPr>
              <w:t>《消防设施通用规范》GB55036-2022</w:t>
            </w:r>
          </w:p>
          <w:p>
            <w:pPr>
              <w:pStyle w:val="null3"/>
              <w:ind w:firstLine="400"/>
              <w:jc w:val="both"/>
            </w:pPr>
            <w:r>
              <w:rPr>
                <w:rFonts w:ascii="仿宋_GB2312" w:hAnsi="仿宋_GB2312" w:cs="仿宋_GB2312" w:eastAsia="仿宋_GB2312"/>
                <w:sz w:val="20"/>
              </w:rPr>
              <w:t>1.12</w:t>
            </w:r>
            <w:r>
              <w:rPr>
                <w:rFonts w:ascii="仿宋_GB2312" w:hAnsi="仿宋_GB2312" w:cs="仿宋_GB2312" w:eastAsia="仿宋_GB2312"/>
                <w:sz w:val="20"/>
              </w:rPr>
              <w:t>《自动喷水灭火系统设计规范》GB50084-2017</w:t>
            </w:r>
          </w:p>
          <w:p>
            <w:pPr>
              <w:pStyle w:val="null3"/>
              <w:numPr>
                <w:ilvl w:val="0"/>
                <w:numId w:val="1"/>
              </w:numPr>
              <w:jc w:val="both"/>
            </w:pPr>
            <w:r>
              <w:rPr>
                <w:rFonts w:ascii="仿宋_GB2312" w:hAnsi="仿宋_GB2312" w:cs="仿宋_GB2312" w:eastAsia="仿宋_GB2312"/>
                <w:sz w:val="20"/>
              </w:rPr>
              <w:t xml:space="preserve">根据工程设计要求，该项工程项目的施工、材料、设备和安装等除达到以上标准外，还应满足设计要求和招标人在招标文件中的有关要求。 </w:t>
            </w:r>
          </w:p>
          <w:p>
            <w:pPr>
              <w:pStyle w:val="null3"/>
              <w:jc w:val="both"/>
            </w:pPr>
            <w:r>
              <w:rPr>
                <w:rFonts w:ascii="仿宋_GB2312" w:hAnsi="仿宋_GB2312" w:cs="仿宋_GB2312" w:eastAsia="仿宋_GB2312"/>
                <w:sz w:val="20"/>
                <w:b/>
              </w:rPr>
              <w:t>（三）电气要求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本次改造范围为局部改造。三层、四层照明、插座配电线路电源均由一层总配电箱通过桥架、配管引至层配电箱，再由层配电箱引至灯具、开关、插座等终端。负荷等级：均为三级负荷。</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电源进户线穿钢管引进户，以放射、树干相结合的形式配电给各用电设备。照明配电箱后支线采用WDZ-BYJ-450/750型导线，穿阻燃型管埋墙、吊顶内暗敷(图中未标注的照明、插座间连线均为3根)，照明线路采用WDZ-BYJ-450/750-2.5mm导线，3根及以下穿JDG15,4~6根穿JDG20；插座采用WDZ-BYJ-450/750-4.0mm 导线，3根及以下穿JDG20,4~5根穿JDG25。照明、配电系统、弱电系统的线缆在室内干燥、潮湿场所的线缆采用导管布线时,应明确其厚度不应低于1.5mm、2.0mm明敷设的电气线缆饶绍性能不应低于B1级。</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配电间内线路均为明敷，所有孔洞待电气设备安装完成后用防火堵料封堵。</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电缆桥架本体之间的连接应牢固可靠,金属电缆桥架与保护导体的连接应符合电缆桥架全长不大于30m时,不应少于2处与保护导体可靠连接；全长大于30m时,每隔20m~30m应增加一个连接点,起始端和终点端均应可靠接地。需要保护的电子信息、电缆桥架内敷设的缆线在引入、引出、转弯位置应在长度上留有余量。入户处电缆应采用挠性线管或采取其他抗震措施,入户电缆应留有余量。线路采用穿金属导管或桥架敷设时,应采用刚性托架或支架固定,桥架敷设时,应采用刚性托架或支架固定,不宜采用吊架。当必须采用吊架时,应安装横向防晃吊架。</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建筑的非结构构件及附属机电设备,其自身及与结构主体的连接,应进行抗震设防。建筑附属机电设备不应设置在可能致使其功能障碍等二次灾害的部位；设防地震下需要连续工作附属设备,应设置在建筑结构地震反应较小的部位。建筑附属机电设备的几座和支架,以及相关连接件锚固件应具有足够的刚度和强度,应能将设备承受的地震作用全部传递到建筑结构上。建筑结构中,用以固定建筑附属机电设备预埋件、锚固件的部位,应采取加强措施,以承受附属机电设备传给主题结构的地震作用。</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本工程弱电进线由市政弱电引入,综合布线系统采用星型拓扑结构模块化设计,铜芯对绞电缆混和组网方式,支线沿墙、顶穿PC管、走廊内穿管配线;信息插座选用标准的超6类RJ45插座,信息插座采用墙上暗装方式;信息、插座每一孔配线电缆均选用1根4对6类非屏蔽双绞线。其余详见综合布线系统图。</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弱电工程水平支线采用穿保护管埋楼板、埋墙暗敷方式,管径见系统图。</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设计仅做施工时预埋宽带网络保护管,具体设备及穿线选型由专业厂家做二次深化设计,并做好接线和设备的调试安装。</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宽带网络终端插座均暗设。宽带网络交换及配线机柜(箱)嵌墙暗装。</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电信业务经营者的配线模块在配线箱内分区域安装，宽带网络终端插座与其电源插座的水平距离为250mm。</w:t>
            </w:r>
          </w:p>
          <w:p>
            <w:pPr>
              <w:pStyle w:val="null3"/>
              <w:ind w:left="495"/>
              <w:jc w:val="both"/>
            </w:pPr>
            <w:r>
              <w:rPr>
                <w:rFonts w:ascii="仿宋_GB2312" w:hAnsi="仿宋_GB2312" w:cs="仿宋_GB2312" w:eastAsia="仿宋_GB2312"/>
                <w:sz w:val="20"/>
                <w:b/>
              </w:rPr>
              <w:t>（四）暖通要求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采用变制冷剂流量多联机空调系统 (简称VRF),满足不同房间、不同时段的需要。</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空调系统采用变制冷剂流量多联空调室内机。多联空调室内机采用风管机，多联空调室外机采用低温增焓型室外机。</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空调冷媒管采用无缝铜管，冷凝水管采用焊接钢管。冷媒管严禁在管道内有压力的情况下进行焊接。</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本次三层、四层原有的暖气片拆除、重新布置（详见采暖图纸）。</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管道穿过内墙或楼板时，应设置套管，套管与管道间的缝隙应填充柔性耐火材料。</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风管除特别说明外，均用热浸镀锌钢板制作。</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风管可采用管内或管外加固、管壁压制加强筋等形式进行加固，矩形风管加固件宜采用角钢。轻钢型材或钢板折叠：圆形风管加固件宜采用角钢。</w:t>
            </w:r>
          </w:p>
          <w:p>
            <w:pPr>
              <w:pStyle w:val="null3"/>
              <w:ind w:left="495"/>
              <w:jc w:val="both"/>
            </w:pPr>
            <w:r>
              <w:rPr>
                <w:rFonts w:ascii="仿宋_GB2312" w:hAnsi="仿宋_GB2312" w:cs="仿宋_GB2312" w:eastAsia="仿宋_GB2312"/>
                <w:sz w:val="20"/>
                <w:b/>
              </w:rPr>
              <w:t>（五）给排水要求</w:t>
            </w:r>
          </w:p>
          <w:p>
            <w:pPr>
              <w:pStyle w:val="null3"/>
              <w:ind w:left="495"/>
              <w:jc w:val="both"/>
            </w:pPr>
            <w:r>
              <w:rPr>
                <w:rFonts w:ascii="仿宋_GB2312" w:hAnsi="仿宋_GB2312" w:cs="仿宋_GB2312" w:eastAsia="仿宋_GB2312"/>
                <w:sz w:val="20"/>
              </w:rPr>
              <w:t>1.</w:t>
            </w:r>
            <w:r>
              <w:rPr>
                <w:rFonts w:ascii="仿宋_GB2312" w:hAnsi="仿宋_GB2312" w:cs="仿宋_GB2312" w:eastAsia="仿宋_GB2312"/>
                <w:sz w:val="20"/>
              </w:rPr>
              <w:t>本次设计范围为二、四层楼内卫生间给水系统、污水排水系统。</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给水系统水源及水压:给水接自原给水主管供给,给水主管接自市政给水管网,水源,水压,给水水质符合现行的国家标准《生活饮用水卫生标准》要求。</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室内污水采用单立管排水系统进行排水。</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建筑物内污水经室外排水管道汇集后,经室外化粪池处理后排入市政污水管网,最终排入城市污水处理厂。</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生活给水及热水管采用PP-R管材,热熔连接，冷水PP-R管道采用S4型,热水PP-R管道采用S3.2型,给水管道的工作压力不得大于产品标准相应介质温度下的工作压力，管材与管件应配套。且符合现行产品标准的要求和卫生标准。</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排水管道采用PVC-U管材,粘接连接。</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阀门:生活给水系统中,管径≤DN50mm时采用全铜截止阀,内螺纹连接,管径&gt;DN50mm时采用弹性座封铸铁铜芯或不锈钢芯闸阀,法兰连接。</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地漏采用直通型地漏,配套的存水弯水封高度不小于50mm,地漏篦子采用不锈钢制品,地漏篦子表面低于该处地面不少于10mm,地面应有不小于0.01的坡度坡向地漏,浴室采用带框地漏,严禁使用钟罩(或扣碗)式地漏。</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卫生器具配套的存水弯水封高度不小于50mm,并要求明设的存水弯自带检查口。</w:t>
            </w:r>
          </w:p>
          <w:p>
            <w:pPr>
              <w:pStyle w:val="null3"/>
              <w:ind w:firstLine="400"/>
              <w:jc w:val="both"/>
            </w:pPr>
            <w:r>
              <w:rPr>
                <w:rFonts w:ascii="仿宋_GB2312" w:hAnsi="仿宋_GB2312" w:cs="仿宋_GB2312" w:eastAsia="仿宋_GB2312"/>
                <w:sz w:val="20"/>
              </w:rPr>
              <w:t>10.</w:t>
            </w:r>
            <w:r>
              <w:rPr>
                <w:rFonts w:ascii="仿宋_GB2312" w:hAnsi="仿宋_GB2312" w:cs="仿宋_GB2312" w:eastAsia="仿宋_GB2312"/>
                <w:sz w:val="20"/>
              </w:rPr>
              <w:t>给水管道的工作压力为0.35MPa,试验压力为0.9MPa；试压方法应按《建筑给水排水及采暖工程施工质量验收规范》GB50242-2002的规定执行。</w:t>
            </w:r>
          </w:p>
          <w:p>
            <w:pPr>
              <w:pStyle w:val="null3"/>
              <w:jc w:val="both"/>
            </w:pPr>
            <w:r>
              <w:rPr>
                <w:rFonts w:ascii="仿宋_GB2312" w:hAnsi="仿宋_GB2312" w:cs="仿宋_GB2312" w:eastAsia="仿宋_GB2312"/>
                <w:sz w:val="20"/>
                <w:b/>
              </w:rPr>
              <w:t>（六）建筑要求</w:t>
            </w:r>
          </w:p>
          <w:p>
            <w:pPr>
              <w:pStyle w:val="null3"/>
              <w:ind w:firstLine="200"/>
              <w:jc w:val="left"/>
            </w:pPr>
            <w:r>
              <w:rPr>
                <w:rFonts w:ascii="仿宋_GB2312" w:hAnsi="仿宋_GB2312" w:cs="仿宋_GB2312" w:eastAsia="仿宋_GB2312"/>
                <w:sz w:val="20"/>
              </w:rPr>
              <w:t>1.</w:t>
            </w:r>
            <w:r>
              <w:rPr>
                <w:rFonts w:ascii="仿宋_GB2312" w:hAnsi="仿宋_GB2312" w:cs="仿宋_GB2312" w:eastAsia="仿宋_GB2312"/>
                <w:sz w:val="20"/>
              </w:rPr>
              <w:t>本工程所用材料规格、材质、施工及验收等要求，均应遵照国家现行标准、各项工程施工及验收规范进行。</w:t>
            </w:r>
          </w:p>
          <w:p>
            <w:pPr>
              <w:pStyle w:val="null3"/>
              <w:ind w:firstLine="200"/>
              <w:jc w:val="left"/>
            </w:pPr>
            <w:r>
              <w:rPr>
                <w:rFonts w:ascii="仿宋_GB2312" w:hAnsi="仿宋_GB2312" w:cs="仿宋_GB2312" w:eastAsia="仿宋_GB2312"/>
                <w:sz w:val="20"/>
              </w:rPr>
              <w:t>2.</w:t>
            </w:r>
            <w:r>
              <w:rPr>
                <w:rFonts w:ascii="仿宋_GB2312" w:hAnsi="仿宋_GB2312" w:cs="仿宋_GB2312" w:eastAsia="仿宋_GB2312"/>
                <w:sz w:val="20"/>
              </w:rPr>
              <w:t>门窗（采光屋顶、防火门窗、人防门等）、幕墙（玻璃、金属及石材等）制作和安装时，生产厂家必须具有国家认定的相应资质。其产品的各项性能指标应符合相关技术规范的要求。还应及时提供与结构主体有关的预埋件和预留洞口的尺寸、位置、误差范围，并配合施工。厂家在制作前应复核土建施工后的相关尺寸，以确保安装无误。</w:t>
            </w:r>
          </w:p>
          <w:p>
            <w:pPr>
              <w:pStyle w:val="null3"/>
              <w:ind w:firstLine="200"/>
              <w:jc w:val="left"/>
            </w:pPr>
            <w:r>
              <w:rPr>
                <w:rFonts w:ascii="仿宋_GB2312" w:hAnsi="仿宋_GB2312" w:cs="仿宋_GB2312" w:eastAsia="仿宋_GB2312"/>
                <w:sz w:val="20"/>
              </w:rPr>
              <w:t>3.</w:t>
            </w:r>
            <w:r>
              <w:rPr>
                <w:rFonts w:ascii="仿宋_GB2312" w:hAnsi="仿宋_GB2312" w:cs="仿宋_GB2312" w:eastAsia="仿宋_GB2312"/>
                <w:sz w:val="20"/>
              </w:rPr>
              <w:t>防水材料的主要性能应符合GB55030-2022表3.4.2的要求。</w:t>
            </w:r>
          </w:p>
          <w:p>
            <w:pPr>
              <w:pStyle w:val="null3"/>
              <w:ind w:firstLine="200"/>
              <w:jc w:val="left"/>
            </w:pPr>
            <w:r>
              <w:rPr>
                <w:rFonts w:ascii="仿宋_GB2312" w:hAnsi="仿宋_GB2312" w:cs="仿宋_GB2312" w:eastAsia="仿宋_GB2312"/>
                <w:sz w:val="20"/>
              </w:rPr>
              <w:t>4.</w:t>
            </w:r>
            <w:r>
              <w:rPr>
                <w:rFonts w:ascii="仿宋_GB2312" w:hAnsi="仿宋_GB2312" w:cs="仿宋_GB2312" w:eastAsia="仿宋_GB2312"/>
                <w:sz w:val="20"/>
              </w:rPr>
              <w:t>砂浆防水层中增设耐碱玻璃纤维网布，并用塑料栓固定于墙体。砂浆防水层留分格缝，分缝设置在墙体不同材料交接处；水平缝宜与窗口上下沿平齐，垂直缝不大于6m；缝宽为8~10mm缝内用密封材料密封。</w:t>
            </w:r>
          </w:p>
          <w:p>
            <w:pPr>
              <w:pStyle w:val="null3"/>
              <w:ind w:firstLine="200"/>
              <w:jc w:val="left"/>
            </w:pPr>
            <w:r>
              <w:rPr>
                <w:rFonts w:ascii="仿宋_GB2312" w:hAnsi="仿宋_GB2312" w:cs="仿宋_GB2312" w:eastAsia="仿宋_GB2312"/>
                <w:sz w:val="20"/>
              </w:rPr>
              <w:t>5.</w:t>
            </w:r>
            <w:r>
              <w:rPr>
                <w:rFonts w:ascii="仿宋_GB2312" w:hAnsi="仿宋_GB2312" w:cs="仿宋_GB2312" w:eastAsia="仿宋_GB2312"/>
                <w:sz w:val="20"/>
              </w:rPr>
              <w:t>外墙防水层应延伸至门窗框，门窗上桶的外口应做滴水线，外窗台应设置不小于5％的外排水坡度。</w:t>
            </w:r>
          </w:p>
          <w:p>
            <w:pPr>
              <w:pStyle w:val="null3"/>
              <w:ind w:firstLine="200"/>
              <w:jc w:val="left"/>
            </w:pPr>
            <w:r>
              <w:rPr>
                <w:rFonts w:ascii="仿宋_GB2312" w:hAnsi="仿宋_GB2312" w:cs="仿宋_GB2312" w:eastAsia="仿宋_GB2312"/>
                <w:sz w:val="20"/>
              </w:rPr>
              <w:t>6.</w:t>
            </w:r>
            <w:r>
              <w:rPr>
                <w:rFonts w:ascii="仿宋_GB2312" w:hAnsi="仿宋_GB2312" w:cs="仿宋_GB2312" w:eastAsia="仿宋_GB2312"/>
                <w:sz w:val="20"/>
              </w:rPr>
              <w:t>突出外墙面的横向线脚、挑板等构件上部与墙交接处应做成小圆角并向外找坡不小于3%，下部应做滴水槽。</w:t>
            </w:r>
          </w:p>
          <w:p>
            <w:pPr>
              <w:pStyle w:val="null3"/>
              <w:ind w:firstLine="200"/>
              <w:jc w:val="left"/>
            </w:pPr>
            <w:r>
              <w:rPr>
                <w:rFonts w:ascii="仿宋_GB2312" w:hAnsi="仿宋_GB2312" w:cs="仿宋_GB2312" w:eastAsia="仿宋_GB2312"/>
                <w:sz w:val="20"/>
              </w:rPr>
              <w:t>7.</w:t>
            </w:r>
            <w:r>
              <w:rPr>
                <w:rFonts w:ascii="仿宋_GB2312" w:hAnsi="仿宋_GB2312" w:cs="仿宋_GB2312" w:eastAsia="仿宋_GB2312"/>
                <w:sz w:val="20"/>
              </w:rPr>
              <w:t>穿过外墙的管道采用套管，套管应内高外低，被度不应小于5%。</w:t>
            </w:r>
          </w:p>
          <w:p>
            <w:pPr>
              <w:pStyle w:val="null3"/>
              <w:ind w:firstLine="200"/>
              <w:jc w:val="left"/>
            </w:pPr>
            <w:r>
              <w:rPr>
                <w:rFonts w:ascii="仿宋_GB2312" w:hAnsi="仿宋_GB2312" w:cs="仿宋_GB2312" w:eastAsia="仿宋_GB2312"/>
                <w:sz w:val="20"/>
              </w:rPr>
              <w:t>8.</w:t>
            </w:r>
            <w:r>
              <w:rPr>
                <w:rFonts w:ascii="仿宋_GB2312" w:hAnsi="仿宋_GB2312" w:cs="仿宋_GB2312" w:eastAsia="仿宋_GB2312"/>
                <w:sz w:val="20"/>
              </w:rPr>
              <w:t>工程室内所选用的建筑材料和装修材料，不得使用国家禁止使用，限制使用的建筑材料：应选用符合规范GB 50325-2020要求的材料。建筑工程所使用的砂、石、砖、砌块、水泥、混凝土，混凝土预制构件等无机非金属建筑主体材料的效射性限量，应符合现行国家标准《建筑材料放射性核素限量》GB 6566的规定。建筑工程所使用的无机非金属装修材料，包括石材，建筑卫生陶瓷、石膏板、吊顶材料、无机套质砖新接材料等，其放射性限量应分类符合现行国家标准《建筑材料放射性核素限量》GB 6566的规定。</w:t>
            </w:r>
          </w:p>
          <w:p>
            <w:pPr>
              <w:pStyle w:val="null3"/>
              <w:ind w:firstLine="200"/>
              <w:jc w:val="left"/>
            </w:pPr>
            <w:r>
              <w:rPr>
                <w:rFonts w:ascii="仿宋_GB2312" w:hAnsi="仿宋_GB2312" w:cs="仿宋_GB2312" w:eastAsia="仿宋_GB2312"/>
                <w:sz w:val="20"/>
              </w:rPr>
              <w:t>9.</w:t>
            </w:r>
            <w:r>
              <w:rPr>
                <w:rFonts w:ascii="仿宋_GB2312" w:hAnsi="仿宋_GB2312" w:cs="仿宋_GB2312" w:eastAsia="仿宋_GB2312"/>
                <w:sz w:val="20"/>
              </w:rPr>
              <w:t>建筑工程所使用的加气混凝土等建筑主体材料等，其放射性限量应符合标准GB50325-2020表3.1.3的规定。建筑工程室内装修时，如用人造木板及饰面人造木板，必须测定游离甲醛含量或游离甲醛释放量，根据测量方法，其限量应符合标准GB50325-2020第3.2.3和3.2.4条要求。建筑工程中所使用的能释放氨的阻燃剂、混凝土外加剂，氨的释放量不应大于0.10%。</w:t>
            </w:r>
          </w:p>
          <w:p>
            <w:pPr>
              <w:pStyle w:val="null3"/>
              <w:ind w:firstLine="200"/>
              <w:jc w:val="left"/>
            </w:pPr>
            <w:r>
              <w:rPr>
                <w:rFonts w:ascii="仿宋_GB2312" w:hAnsi="仿宋_GB2312" w:cs="仿宋_GB2312" w:eastAsia="仿宋_GB2312"/>
                <w:sz w:val="20"/>
              </w:rPr>
              <w:t>10.</w:t>
            </w:r>
            <w:r>
              <w:rPr>
                <w:rFonts w:ascii="仿宋_GB2312" w:hAnsi="仿宋_GB2312" w:cs="仿宋_GB2312" w:eastAsia="仿宋_GB2312"/>
                <w:sz w:val="20"/>
              </w:rPr>
              <w:t>建筑工程室内装修中所使用的木质材料、严禁采用沥青、煤焦油类防腐、防潮处理剂。建筑工程室内装修时，严禁使用苯、工业苯、石油苯，重质苯及混苯作为稀释剂和溶剂。</w:t>
            </w:r>
          </w:p>
          <w:p>
            <w:pPr>
              <w:pStyle w:val="null3"/>
              <w:ind w:firstLine="200"/>
              <w:jc w:val="left"/>
            </w:pPr>
            <w:r>
              <w:rPr>
                <w:rFonts w:ascii="仿宋_GB2312" w:hAnsi="仿宋_GB2312" w:cs="仿宋_GB2312" w:eastAsia="仿宋_GB2312"/>
                <w:sz w:val="20"/>
              </w:rPr>
              <w:t>11.</w:t>
            </w:r>
            <w:r>
              <w:rPr>
                <w:rFonts w:ascii="仿宋_GB2312" w:hAnsi="仿宋_GB2312" w:cs="仿宋_GB2312" w:eastAsia="仿宋_GB2312"/>
                <w:sz w:val="20"/>
              </w:rPr>
              <w:t>建筑工程室内严禁使用有机溶剂清洗施工用具。</w:t>
            </w:r>
          </w:p>
          <w:p>
            <w:pPr>
              <w:pStyle w:val="null3"/>
              <w:ind w:firstLine="200"/>
              <w:jc w:val="left"/>
            </w:pPr>
            <w:r>
              <w:rPr>
                <w:rFonts w:ascii="仿宋_GB2312" w:hAnsi="仿宋_GB2312" w:cs="仿宋_GB2312" w:eastAsia="仿宋_GB2312"/>
                <w:sz w:val="20"/>
              </w:rPr>
              <w:t>12.</w:t>
            </w:r>
            <w:r>
              <w:rPr>
                <w:rFonts w:ascii="仿宋_GB2312" w:hAnsi="仿宋_GB2312" w:cs="仿宋_GB2312" w:eastAsia="仿宋_GB2312"/>
                <w:sz w:val="20"/>
              </w:rPr>
              <w:t>生产厂家应结合建筑功能、当地气候及环境条件、确定门窗的抗风压、水密性、气密性、隔声、隔热、防火、防玻璃炸裂等技术要求现场复核无误后，按照相应规范负责设计、制作与安装。</w:t>
            </w:r>
          </w:p>
          <w:p>
            <w:pPr>
              <w:pStyle w:val="null3"/>
              <w:ind w:firstLine="200"/>
              <w:jc w:val="left"/>
            </w:pPr>
            <w:r>
              <w:rPr>
                <w:rFonts w:ascii="仿宋_GB2312" w:hAnsi="仿宋_GB2312" w:cs="仿宋_GB2312" w:eastAsia="仿宋_GB2312"/>
                <w:sz w:val="20"/>
              </w:rPr>
              <w:t>13.</w:t>
            </w:r>
            <w:r>
              <w:rPr>
                <w:rFonts w:ascii="仿宋_GB2312" w:hAnsi="仿宋_GB2312" w:cs="仿宋_GB2312" w:eastAsia="仿宋_GB2312"/>
                <w:sz w:val="20"/>
              </w:rPr>
              <w:t>外窗：框料为深灰色断桥铝合金：玻璃为无色透明中空玻璃，外窗开启扇处均设纱窗。外门窗框与附框或墙体之间的缝隙，应清除杂质后用聚氨醋发泡胶等隔热材料填嵌饱满，并采用硅酮建筑耐候胶密封，以防漏水。</w:t>
            </w:r>
          </w:p>
          <w:p>
            <w:pPr>
              <w:pStyle w:val="null3"/>
              <w:ind w:firstLine="200"/>
              <w:jc w:val="left"/>
            </w:pPr>
            <w:r>
              <w:rPr>
                <w:rFonts w:ascii="仿宋_GB2312" w:hAnsi="仿宋_GB2312" w:cs="仿宋_GB2312" w:eastAsia="仿宋_GB2312"/>
                <w:sz w:val="20"/>
              </w:rPr>
              <w:t>14.</w:t>
            </w:r>
            <w:r>
              <w:rPr>
                <w:rFonts w:ascii="仿宋_GB2312" w:hAnsi="仿宋_GB2312" w:cs="仿宋_GB2312" w:eastAsia="仿宋_GB2312"/>
                <w:sz w:val="20"/>
              </w:rPr>
              <w:t>琴房及办公室门需有观察窗。</w:t>
            </w:r>
          </w:p>
          <w:p>
            <w:pPr>
              <w:pStyle w:val="null3"/>
              <w:jc w:val="both"/>
            </w:pPr>
            <w:r>
              <w:rPr>
                <w:rFonts w:ascii="仿宋_GB2312" w:hAnsi="仿宋_GB2312" w:cs="仿宋_GB2312" w:eastAsia="仿宋_GB2312"/>
                <w:sz w:val="20"/>
                <w:b/>
              </w:rPr>
              <w:t>（七）装饰要求</w:t>
            </w:r>
          </w:p>
          <w:p>
            <w:pPr>
              <w:pStyle w:val="null3"/>
              <w:ind w:firstLine="200"/>
              <w:jc w:val="both"/>
            </w:pPr>
            <w:r>
              <w:rPr>
                <w:rFonts w:ascii="仿宋_GB2312" w:hAnsi="仿宋_GB2312" w:cs="仿宋_GB2312" w:eastAsia="仿宋_GB2312"/>
                <w:sz w:val="20"/>
              </w:rPr>
              <w:t>1.</w:t>
            </w:r>
            <w:r>
              <w:rPr>
                <w:rFonts w:ascii="仿宋_GB2312" w:hAnsi="仿宋_GB2312" w:cs="仿宋_GB2312" w:eastAsia="仿宋_GB2312"/>
                <w:sz w:val="20"/>
              </w:rPr>
              <w:t>室内二次装修设计：应满足消防安全、使用功能、节能及环保等要求，不得超过结构楼面设计荷载值。也不得任意更改公用的给排水管道、暖通风管及消防设施：不得任意降低吊顶控制标高以及改动吊顶上的通风与消防设施：不应减少安全出口及疏散走道的净宽和数量。</w:t>
            </w:r>
          </w:p>
          <w:p>
            <w:pPr>
              <w:pStyle w:val="null3"/>
              <w:ind w:firstLine="200"/>
              <w:jc w:val="both"/>
            </w:pPr>
            <w:r>
              <w:rPr>
                <w:rFonts w:ascii="仿宋_GB2312" w:hAnsi="仿宋_GB2312" w:cs="仿宋_GB2312" w:eastAsia="仿宋_GB2312"/>
                <w:sz w:val="20"/>
              </w:rPr>
              <w:t>2.</w:t>
            </w:r>
            <w:r>
              <w:rPr>
                <w:rFonts w:ascii="仿宋_GB2312" w:hAnsi="仿宋_GB2312" w:cs="仿宋_GB2312" w:eastAsia="仿宋_GB2312"/>
                <w:sz w:val="20"/>
              </w:rPr>
              <w:t>未经技术鉴定和设计认可，不得破坏建筑主体结构承重构件，不得拆改结构构件和加层改造、增设隔墙或墙体移位。</w:t>
            </w:r>
          </w:p>
          <w:p>
            <w:pPr>
              <w:pStyle w:val="null3"/>
              <w:ind w:firstLine="200"/>
              <w:jc w:val="both"/>
            </w:pPr>
            <w:r>
              <w:rPr>
                <w:rFonts w:ascii="仿宋_GB2312" w:hAnsi="仿宋_GB2312" w:cs="仿宋_GB2312" w:eastAsia="仿宋_GB2312"/>
                <w:sz w:val="20"/>
              </w:rPr>
              <w:t>3.</w:t>
            </w:r>
            <w:r>
              <w:rPr>
                <w:rFonts w:ascii="仿宋_GB2312" w:hAnsi="仿宋_GB2312" w:cs="仿宋_GB2312" w:eastAsia="仿宋_GB2312"/>
                <w:sz w:val="20"/>
              </w:rPr>
              <w:t>室内为混合砂浆粉刷时，墙、柱和门洞口的阳角，应用每侧宽度＞50</w:t>
            </w:r>
          </w:p>
          <w:p>
            <w:pPr>
              <w:pStyle w:val="null3"/>
              <w:ind w:firstLine="200"/>
              <w:jc w:val="both"/>
            </w:pPr>
            <w:r>
              <w:rPr>
                <w:rFonts w:ascii="仿宋_GB2312" w:hAnsi="仿宋_GB2312" w:cs="仿宋_GB2312" w:eastAsia="仿宋_GB2312"/>
                <w:sz w:val="20"/>
              </w:rPr>
              <w:t>4.</w:t>
            </w:r>
            <w:r>
              <w:rPr>
                <w:rFonts w:ascii="仿宋_GB2312" w:hAnsi="仿宋_GB2312" w:cs="仿宋_GB2312" w:eastAsia="仿宋_GB2312"/>
                <w:sz w:val="20"/>
              </w:rPr>
              <w:t>有吊顶的房间，装饰面层应做至吊顶标高以上100高处。</w:t>
            </w:r>
          </w:p>
          <w:p>
            <w:pPr>
              <w:pStyle w:val="null3"/>
              <w:ind w:firstLine="200"/>
              <w:jc w:val="both"/>
            </w:pPr>
            <w:r>
              <w:rPr>
                <w:rFonts w:ascii="仿宋_GB2312" w:hAnsi="仿宋_GB2312" w:cs="仿宋_GB2312" w:eastAsia="仿宋_GB2312"/>
                <w:sz w:val="20"/>
              </w:rPr>
              <w:t>5.</w:t>
            </w:r>
            <w:r>
              <w:rPr>
                <w:rFonts w:ascii="仿宋_GB2312" w:hAnsi="仿宋_GB2312" w:cs="仿宋_GB2312" w:eastAsia="仿宋_GB2312"/>
                <w:sz w:val="20"/>
              </w:rPr>
              <w:t>不同材料交接处，应在找平层中附加耐碱玻璃纤维网格布，两边搭接不小于100，防止墙体开裂。</w:t>
            </w:r>
          </w:p>
          <w:p>
            <w:pPr>
              <w:pStyle w:val="null3"/>
              <w:ind w:firstLine="200"/>
              <w:jc w:val="both"/>
            </w:pPr>
            <w:r>
              <w:rPr>
                <w:rFonts w:ascii="仿宋_GB2312" w:hAnsi="仿宋_GB2312" w:cs="仿宋_GB2312" w:eastAsia="仿宋_GB2312"/>
                <w:sz w:val="20"/>
              </w:rPr>
              <w:t>6.</w:t>
            </w:r>
            <w:r>
              <w:rPr>
                <w:rFonts w:ascii="仿宋_GB2312" w:hAnsi="仿宋_GB2312" w:cs="仿宋_GB2312" w:eastAsia="仿宋_GB2312"/>
                <w:sz w:val="20"/>
              </w:rPr>
              <w:t>室内采暖立管、给排水立管、雨水管未设在管道井内时可统一由装修统一包管。</w:t>
            </w:r>
          </w:p>
          <w:p>
            <w:pPr>
              <w:pStyle w:val="null3"/>
              <w:ind w:firstLine="200"/>
              <w:jc w:val="both"/>
            </w:pPr>
            <w:r>
              <w:rPr>
                <w:rFonts w:ascii="仿宋_GB2312" w:hAnsi="仿宋_GB2312" w:cs="仿宋_GB2312" w:eastAsia="仿宋_GB2312"/>
                <w:sz w:val="20"/>
              </w:rPr>
              <w:t>7.</w:t>
            </w:r>
            <w:r>
              <w:rPr>
                <w:rFonts w:ascii="仿宋_GB2312" w:hAnsi="仿宋_GB2312" w:cs="仿宋_GB2312" w:eastAsia="仿宋_GB2312"/>
                <w:sz w:val="20"/>
              </w:rPr>
              <w:t>产生噪音和震动的设备机房，需作减噪隔声处理，具体做法见建施用料表，设备用房隔声量≥50dB其它房间隔声量应符合《民用建筑隔声设计规范》GB50118-2010。</w:t>
            </w:r>
          </w:p>
          <w:p>
            <w:pPr>
              <w:pStyle w:val="null3"/>
              <w:ind w:firstLine="200"/>
              <w:jc w:val="both"/>
            </w:pPr>
            <w:r>
              <w:rPr>
                <w:rFonts w:ascii="仿宋_GB2312" w:hAnsi="仿宋_GB2312" w:cs="仿宋_GB2312" w:eastAsia="仿宋_GB2312"/>
                <w:sz w:val="20"/>
              </w:rPr>
              <w:t>8.</w:t>
            </w:r>
            <w:r>
              <w:rPr>
                <w:rFonts w:ascii="仿宋_GB2312" w:hAnsi="仿宋_GB2312" w:cs="仿宋_GB2312" w:eastAsia="仿宋_GB2312"/>
                <w:sz w:val="20"/>
              </w:rPr>
              <w:t>设有地漏的房间均应做防水层，未注明整个房间找坡者，在地漏周围1米范围内向地漏找1%~2％坡。</w:t>
            </w:r>
          </w:p>
          <w:p>
            <w:pPr>
              <w:pStyle w:val="null3"/>
              <w:ind w:firstLine="200"/>
              <w:jc w:val="both"/>
            </w:pPr>
            <w:r>
              <w:rPr>
                <w:rFonts w:ascii="仿宋_GB2312" w:hAnsi="仿宋_GB2312" w:cs="仿宋_GB2312" w:eastAsia="仿宋_GB2312"/>
                <w:sz w:val="20"/>
              </w:rPr>
              <w:t>9.</w:t>
            </w:r>
            <w:r>
              <w:rPr>
                <w:rFonts w:ascii="仿宋_GB2312" w:hAnsi="仿宋_GB2312" w:cs="仿宋_GB2312" w:eastAsia="仿宋_GB2312"/>
                <w:sz w:val="20"/>
              </w:rPr>
              <w:t>及时清理施工现场垃圾。</w:t>
            </w:r>
          </w:p>
          <w:p>
            <w:pPr>
              <w:pStyle w:val="null3"/>
              <w:jc w:val="both"/>
            </w:pPr>
            <w:r>
              <w:rPr>
                <w:rFonts w:ascii="仿宋_GB2312" w:hAnsi="仿宋_GB2312" w:cs="仿宋_GB2312" w:eastAsia="仿宋_GB2312"/>
                <w:sz w:val="20"/>
                <w:b/>
              </w:rPr>
              <w:t>（八）以下内容为对本工程的最基本要求，包括但不限于：</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施工单位项目负责人是安全生产第一责任人，施工单位应建立健全安全生产责任制度和安全教育培训、安全生产检查和安全生产操作规程等各项规章制度；向施工作业人员提供符合相关标准的劳动安全防护用品（具），为施工人员缴纳意外伤害保险。</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施工单位应根据工程特点和周边各种管线管网、相邻建筑物以及绿化等其他设施等编制工程安全防护措施方案。该方案经施工单位技术负责人签字批准送建设单位审核后方可施工。</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施工单位在施工现场应建立项目部，并按规定配备专职安全员。现场专职安全员必须持有安全生产考核合格证。</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关键部位作业人员必须经专业安全技术培训后方可上岗。必要时施工前施工单位对施工作业人员进行安全技术交底，派出技术人员到现场指导，专职安全员在现场监督安全管理。另外施工单位必须制定安全事故应急救援方案。</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拆除时不得野蛮施工、不得对附近建筑物、路灯、规划外的树木等造成损害。</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施工单位对工程的周边环境和施工区域内的环境卫生负责。</w:t>
            </w:r>
          </w:p>
          <w:p>
            <w:pPr>
              <w:pStyle w:val="null3"/>
              <w:jc w:val="both"/>
            </w:pPr>
            <w:r>
              <w:rPr>
                <w:rFonts w:ascii="仿宋_GB2312" w:hAnsi="仿宋_GB2312" w:cs="仿宋_GB2312" w:eastAsia="仿宋_GB2312"/>
                <w:sz w:val="20"/>
                <w:b/>
              </w:rPr>
              <w:t>五、项目管理要求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本项目不得分包、转包。</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供应商在竞争性磋商响应文件中承诺的项目负责人及相应资质的专业技术、安全管理人员未经采购人书面同意，承包人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同。</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成交供应商须无条件接受甲方代表的现场检查和管理。</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成交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施工的建筑垃圾应清运至有关部门指定的地点，做到工完场清，不留死角。</w:t>
            </w:r>
          </w:p>
          <w:p>
            <w:pPr>
              <w:pStyle w:val="null3"/>
            </w:pPr>
            <w:r>
              <w:rPr>
                <w:rFonts w:ascii="仿宋_GB2312" w:hAnsi="仿宋_GB2312" w:cs="仿宋_GB2312" w:eastAsia="仿宋_GB2312"/>
                <w:sz w:val="20"/>
                <w:b/>
              </w:rPr>
              <w:t>六、投标报价要求</w:t>
            </w:r>
          </w:p>
          <w:p>
            <w:pPr>
              <w:pStyle w:val="null3"/>
              <w:ind w:firstLine="400"/>
            </w:pPr>
            <w:r>
              <w:rPr>
                <w:rFonts w:ascii="仿宋_GB2312" w:hAnsi="仿宋_GB2312" w:cs="仿宋_GB2312" w:eastAsia="仿宋_GB2312"/>
                <w:sz w:val="20"/>
              </w:rPr>
              <w:t>本项目所有设备安装涉及的二次深化设计、深化出图、节点优化、管线排布细化、技术校核、报审报验等全部工作内容及对应产生的人工、材料、机械、措施、管理等一切相关费用，由投标人在投标阶段结合图纸、现场工况及规范要求综合考量，全额计入投标综合单价及总价内包干使用。施工全过程中，不因二次深化工作内容增减、图纸细化调整等任何理由办理变更、签证及费用增补。</w:t>
            </w:r>
          </w:p>
          <w:p>
            <w:pPr>
              <w:pStyle w:val="null3"/>
            </w:pPr>
            <w:r>
              <w:rPr>
                <w:rFonts w:ascii="仿宋_GB2312" w:hAnsi="仿宋_GB2312" w:cs="仿宋_GB2312" w:eastAsia="仿宋_GB2312"/>
                <w:sz w:val="20"/>
                <w:b/>
              </w:rPr>
              <w:t>七、本项目暂列金伍万元整。</w:t>
            </w:r>
            <w:r>
              <w:br/>
            </w:r>
            <w:r>
              <w:rPr>
                <w:rFonts w:ascii="仿宋_GB2312" w:hAnsi="仿宋_GB2312" w:cs="仿宋_GB2312" w:eastAsia="仿宋_GB2312"/>
                <w:sz w:val="20"/>
                <w:b/>
              </w:rPr>
              <w:t xml:space="preserve"> 八、</w:t>
            </w:r>
            <w:r>
              <w:rPr>
                <w:rFonts w:ascii="仿宋_GB2312" w:hAnsi="仿宋_GB2312" w:cs="仿宋_GB2312" w:eastAsia="仿宋_GB2312"/>
                <w:sz w:val="20"/>
                <w:b/>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1.总工期要求：45日历天。 2.施工地点：西安石油大学雁塔校区。 3.质保期：项目质保2年。 4.工程质量：合格。 5.采购资金的支付方式及时间： （1）此工程无预付款，工程施工完毕，经甲方验收合格后，10日内支付合同总价款的70%；经工程审计结算审核后10日内，扣除核定总造价1%的水电费，余款一次结清（不计利息）。办理付款时，乙方应提供增值税专用发票。 （2）承包人递交的工程结算资料应详实、准确，经发包人委托的造价咨询机构进行结算审核，审减额在5%以内（含5%）的审核成果费由发包人承担；审减额超过5%的，超出部分的审计成果费由承包人承担。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3.3.1清单报价编制要求： （1）按照本项目GBQ清单及《建设工程工程量清单计价标准》（陕西2025），《房屋建筑与装饰工程工程量计算标准》(陕西2025) ，《通用安装工程工程量计算标准》（陕西2025），《园林绿化工程工程量计算标准》（陕西2025），《陕西省建设工程费用规则》（2025），《陕西省房屋建筑与装饰工程基价表》（2025），《陕西省通用安装工程基价表》（2025），《陕西省园林绿化工程基价表》（2025），《陕西省房屋建筑与装饰工程消耗量定额》（2025），《陕西省通用安装工程消耗量定额》（2025），《陕西省园林绿化工程消耗量定额》（2025）及其他相关的计价依据和办法等编制。（2）供应商应充分考虑磋商文件的各项要求和本工程的实际情况，根据自身实力，充分考虑材料价格、人工费、物价上涨等市场变化的风险，自主报价，风险自担。（3）不可竞争的规费、税金、安全文明施工费按计价规则的规定计取，营改增按陕建发调整陕西省建设工程计价依据的通知执行，磋商报价中包含所有费用。（4）本工程材料采购需采购人进行认质。 3.3.2本项目工程量清单详见附件。 3.3.3本项目为固定综合单价合同，清单所列工程量是预计数量，实际结算按实际完成的工程量进行结算。 3.3.4踏勘注意事项：（1）请各供应商在踏勘时间前，将踏勘人员姓名及手机号码发送至代理机构邮箱（438904813@qq.com）；（2）供应商因自身原因未按时进行现场踏勘，而导致的任何风险，由供应商自行承担；（3）凡因对施工现场、施工环境、市场行情等了解不清而造成的后果和风险，由供应商自行承担；（4）踏勘相关费用及安全由供应商自行承担；（5）踏勘时各供应商有疑问可以在现场提出，由采购人当场解答，否则视为供应商再无疑义。 3.3.5（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1供应商资格证明文件.docx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 ：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1供应商资格证明文件.docx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供应商须具备建筑工程施工总承包三级以上（含三级）资质或建筑装修装饰工程专业承包二级以上（含二级）资质，同时具备有效的安全生产许可证。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（1）响应文件按照磋商文件规定要求签署、盖章的；（2）响应有效期满足磋商文件要求的； （3）报价未超过磋商文件中规定的最高限价的； （4）满足本磋商文件中第三章“三、针对本项目的其他技术服务要求”条款内容的； （5）无法律、规章、规范性文件和磋商文件规定的其他无效情形。</w:t>
            </w:r>
          </w:p>
        </w:tc>
        <w:tc>
          <w:tcPr>
            <w:tcW w:type="dxa" w:w="1661"/>
          </w:tcPr>
          <w:p>
            <w:pPr>
              <w:pStyle w:val="null3"/>
            </w:pPr>
            <w:r>
              <w:rPr>
                <w:rFonts w:ascii="仿宋_GB2312" w:hAnsi="仿宋_GB2312" w:cs="仿宋_GB2312" w:eastAsia="仿宋_GB2312"/>
              </w:rPr>
              <w:t>响应文件封面 已标价工程量清单 3商务部分偏离表.docx 报价函 响应函 2承诺书.docx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根据供应商提供以下内容进行评审： ①根据供应商针对本项目实施的现场情况、难易程度、历史资料匹配、成品保护等重点、难点进行分析进行评审； ②根据供应商针对本项目对易发生质量通病、易出现安全问题、施工难度大、技术含量高的分项工程等进行说明并给出施工保障措施和专项技术方案（含主要施工工法、组织措施、检验手段等）进行评审； ③根据供应商针对影响本项目的外在因素和可能出现的问题进行分析，并制定相关应急预案或保证措施进行评审。 上述方案内容完全满足项目实施需求，无瑕疵计12分， 每有1 处瑕疵扣0.5分， 存在24处及以上瑕疵或未提供，不计分。 注：本文所称“瑕疵”是指：项目名称不符、方案内容与项目需求不一致、涉及的技术规范标准等与国家或行业或磋商文件要求不一致；非专门针对本项目或不适用本项目特性、套用其他项目内容；方案内容存在凭空想象与编造，工作组织无条理性、计划方法或实施步骤安排混乱、语义表述存在歧义、混乱、前后不一致、科学原理或常识错误；不利于本项目目标的实现、现有技术条件下不可能出现的情形等任意一种情形等。（下述评分标准针对“瑕疵”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根据供应商提供以下内容进行评审： ①根据供应商针对本项目工期紧、质量高的特点，制定切实可行的施工进度计划（网络图/横道图）和工期保证措施，施工顺序具体说明及施工流水段划分；工期控制要点及分级控制措施；进度监管手段、人材机组织保证进行评审； ②针对本项目工期紧、质量高的特点，制定切实可行的现场调度及总包分包协调方案；赶工方案及奖惩措施；劳动力配置计划和生产效率及生活保障措施；检测及机具设备计划、材料准备计划及相关保证措施进行评审。 上述2项内容，每提供1项内容计4分，每项内容存在一处瑕疵扣0.5分；本评分点满分8分。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根据供应商提供以下内容进行评审： ①根据供应商针对本项目特点制定切实可行质量管理预控措施（各项质量目标及控制措施、质量检验和实验计划、事前控制、材料质量控制、施工机具控制等）进行评审； ②根据供应商针对本项目分部分项工程质量保证措施、成品保护和工程保修管理措施进行评审。 上述2项内容，每提供1项内容计3分，每项内容存在一处瑕疵扣0.5分；本评分点满分6分。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根据供应商提供以下内容进行评审： ①根据供应商针对本项目特点结合工程环境、特点分析安全隐患，给出有针对性的安全生产、文明施工、环保施工、防尘降噪等保证措施进行评审； ②根据供应商针对本项目提供安全文明制度、环保施工保证体系和控制点设置满足采购人要求，满足国家、省市相关法规规定及采购文件要求进行评审。 ③供应商针对本项目提供工完场清的措施。 上述3项内容，每提供1项内容计3分，每项内容存在一处瑕疵扣0.5分；本评分点满分9分。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上述内容完全满足项目实施需求，无瑕疵计6分，每项内容存在一处瑕疵扣0.5分，未提供不计分。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主要材料品牌、价格表</w:t>
            </w:r>
          </w:p>
        </w:tc>
        <w:tc>
          <w:tcPr>
            <w:tcW w:type="dxa" w:w="2492"/>
          </w:tcPr>
          <w:p>
            <w:pPr>
              <w:pStyle w:val="null3"/>
            </w:pPr>
            <w:r>
              <w:rPr>
                <w:rFonts w:ascii="仿宋_GB2312" w:hAnsi="仿宋_GB2312" w:cs="仿宋_GB2312" w:eastAsia="仿宋_GB2312"/>
              </w:rPr>
              <w:t>供应商针对本项目提供的主要材料品牌、价格表填写完整，无缺漏项计4分。未提供或提供不全或拟投主要材料品牌不明确的本项不得分。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9主要材料品牌、价格表.docx</w:t>
            </w:r>
          </w:p>
        </w:tc>
      </w:tr>
      <w:tr>
        <w:tc>
          <w:tcPr>
            <w:tcW w:type="dxa" w:w="831"/>
            <w:vMerge/>
          </w:tcPr>
          <w:p/>
        </w:tc>
        <w:tc>
          <w:tcPr>
            <w:tcW w:type="dxa" w:w="1661"/>
          </w:tcPr>
          <w:p>
            <w:pPr>
              <w:pStyle w:val="null3"/>
            </w:pPr>
            <w:r>
              <w:rPr>
                <w:rFonts w:ascii="仿宋_GB2312" w:hAnsi="仿宋_GB2312" w:cs="仿宋_GB2312" w:eastAsia="仿宋_GB2312"/>
              </w:rPr>
              <w:t>主要材料品牌、价格表的产品选型、品质</w:t>
            </w:r>
          </w:p>
        </w:tc>
        <w:tc>
          <w:tcPr>
            <w:tcW w:type="dxa" w:w="2492"/>
          </w:tcPr>
          <w:p>
            <w:pPr>
              <w:pStyle w:val="null3"/>
            </w:pPr>
            <w:r>
              <w:rPr>
                <w:rFonts w:ascii="仿宋_GB2312" w:hAnsi="仿宋_GB2312" w:cs="仿宋_GB2312" w:eastAsia="仿宋_GB2312"/>
              </w:rPr>
              <w:t>根据供应商针对本项目拟投入主要材料品牌、价格表的产品选型情况、品质进行评审： 主要材料品牌、价格表的市场应用比例高、与本次项目契合度高、为主流产品且符合相关要求，相关证明材料完整、清晰的得5分； 主要材料品牌、价格表的市场应用比例较高、与本次项目契合度较好、为较主流产品，相关证明材料较完整、较清晰的得4分； 主要材料品牌、价格表的市场应用比例中等、与本次项目契合度一般、为一般产品，相关证明材料基本完整的得3分； 主要材料品牌、价格表的市场应用比例偏低、与本次项目契合度较差，相关证明材料部分缺失的得2分； 主要材料品牌、价格表的市场占有率一般，相关证明材料不完整、缺失严重的得1分； 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10主要材料品牌、价格表的产品选型、品质.docx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2分，最高得6分。 备注：响应文件中提供合同扫描件加盖供应商公章。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11供应商业绩.docx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1、拟派目经理的具有中级及以上专业技术职称的得1分，其他情况不得分。 2、提供拟派项目经理2023年1月1日（以合同签订日期为准）至今承担过的类似项目的业绩合同，每提供一份计1分，满分3分。 注：（1）同类业绩是指装饰装修相关工程类业绩；响应文件须提供合同（至少涵盖合同内容关键页、双方签字盖章页、合同需体现项目经理名称并加盖供应商公章；（2）项目经理业绩与供应商业绩可重复计入。</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12项目经理业绩.docx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 承诺1：供应商承诺：项目负责人及相应资质的专业技术、安全管理人员未经采购人书面同意，供应商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提供承诺计3分，未提供不计分。 承诺2：供应商须无条件接受甲方代表的现场检查和管理。在施工期间做好安全文明施工管理，必须重视安全，按规范操作；施工过程中佩戴安全帽，并保证自身及周边公民人身财产安全；严禁带电操作；确保车辆、人员、施工安全；若发生事故，均由供应商负责并承担全部费用，任何责任与采购人无关。提供承诺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13服务承诺.docx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0.5分，每有一项为环境标志产品经国家认证的得0.5分，最多得4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14节能环保.docx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详见附件：1供应商资格证明文件.docx</w:t>
      </w:r>
    </w:p>
    <w:p>
      <w:pPr>
        <w:pStyle w:val="null3"/>
        <w:ind w:firstLine="960"/>
      </w:pPr>
      <w:r>
        <w:rPr>
          <w:rFonts w:ascii="仿宋_GB2312" w:hAnsi="仿宋_GB2312" w:cs="仿宋_GB2312" w:eastAsia="仿宋_GB2312"/>
        </w:rPr>
        <w:t>详见附件：2承诺书.docx</w:t>
      </w:r>
    </w:p>
    <w:p>
      <w:pPr>
        <w:pStyle w:val="null3"/>
        <w:ind w:firstLine="960"/>
      </w:pPr>
      <w:r>
        <w:rPr>
          <w:rFonts w:ascii="仿宋_GB2312" w:hAnsi="仿宋_GB2312" w:cs="仿宋_GB2312" w:eastAsia="仿宋_GB2312"/>
        </w:rPr>
        <w:t>详见附件：3商务部分偏离表.docx</w:t>
      </w:r>
    </w:p>
    <w:p>
      <w:pPr>
        <w:pStyle w:val="null3"/>
        <w:ind w:firstLine="960"/>
      </w:pPr>
      <w:r>
        <w:rPr>
          <w:rFonts w:ascii="仿宋_GB2312" w:hAnsi="仿宋_GB2312" w:cs="仿宋_GB2312" w:eastAsia="仿宋_GB2312"/>
        </w:rPr>
        <w:t>详见附件：4对项目整体理解及施工方案.docx</w:t>
      </w:r>
    </w:p>
    <w:p>
      <w:pPr>
        <w:pStyle w:val="null3"/>
        <w:ind w:firstLine="960"/>
      </w:pPr>
      <w:r>
        <w:rPr>
          <w:rFonts w:ascii="仿宋_GB2312" w:hAnsi="仿宋_GB2312" w:cs="仿宋_GB2312" w:eastAsia="仿宋_GB2312"/>
        </w:rPr>
        <w:t>详见附件：5工程进度计划与保证措施.docx</w:t>
      </w:r>
    </w:p>
    <w:p>
      <w:pPr>
        <w:pStyle w:val="null3"/>
        <w:ind w:firstLine="960"/>
      </w:pPr>
      <w:r>
        <w:rPr>
          <w:rFonts w:ascii="仿宋_GB2312" w:hAnsi="仿宋_GB2312" w:cs="仿宋_GB2312" w:eastAsia="仿宋_GB2312"/>
        </w:rPr>
        <w:t>详见附件：6质量管理体系与保证措施.docx</w:t>
      </w:r>
    </w:p>
    <w:p>
      <w:pPr>
        <w:pStyle w:val="null3"/>
        <w:ind w:firstLine="960"/>
      </w:pPr>
      <w:r>
        <w:rPr>
          <w:rFonts w:ascii="仿宋_GB2312" w:hAnsi="仿宋_GB2312" w:cs="仿宋_GB2312" w:eastAsia="仿宋_GB2312"/>
        </w:rPr>
        <w:t>详见附件：7确保安全生产、文明施工的技术组织措施及环境保护措施.docx</w:t>
      </w:r>
    </w:p>
    <w:p>
      <w:pPr>
        <w:pStyle w:val="null3"/>
        <w:ind w:firstLine="960"/>
      </w:pPr>
      <w:r>
        <w:rPr>
          <w:rFonts w:ascii="仿宋_GB2312" w:hAnsi="仿宋_GB2312" w:cs="仿宋_GB2312" w:eastAsia="仿宋_GB2312"/>
        </w:rPr>
        <w:t>详见附件：8项目人员组成.docx</w:t>
      </w:r>
    </w:p>
    <w:p>
      <w:pPr>
        <w:pStyle w:val="null3"/>
        <w:ind w:firstLine="960"/>
      </w:pPr>
      <w:r>
        <w:rPr>
          <w:rFonts w:ascii="仿宋_GB2312" w:hAnsi="仿宋_GB2312" w:cs="仿宋_GB2312" w:eastAsia="仿宋_GB2312"/>
        </w:rPr>
        <w:t>详见附件：9主要材料品牌、价格表.docx</w:t>
      </w:r>
    </w:p>
    <w:p>
      <w:pPr>
        <w:pStyle w:val="null3"/>
        <w:ind w:firstLine="960"/>
      </w:pPr>
      <w:r>
        <w:rPr>
          <w:rFonts w:ascii="仿宋_GB2312" w:hAnsi="仿宋_GB2312" w:cs="仿宋_GB2312" w:eastAsia="仿宋_GB2312"/>
        </w:rPr>
        <w:t>详见附件：10主要材料品牌、价格表的产品选型、品质.docx</w:t>
      </w:r>
    </w:p>
    <w:p>
      <w:pPr>
        <w:pStyle w:val="null3"/>
        <w:ind w:firstLine="960"/>
      </w:pPr>
      <w:r>
        <w:rPr>
          <w:rFonts w:ascii="仿宋_GB2312" w:hAnsi="仿宋_GB2312" w:cs="仿宋_GB2312" w:eastAsia="仿宋_GB2312"/>
        </w:rPr>
        <w:t>详见附件：11供应商业绩.docx</w:t>
      </w:r>
    </w:p>
    <w:p>
      <w:pPr>
        <w:pStyle w:val="null3"/>
        <w:ind w:firstLine="960"/>
      </w:pPr>
      <w:r>
        <w:rPr>
          <w:rFonts w:ascii="仿宋_GB2312" w:hAnsi="仿宋_GB2312" w:cs="仿宋_GB2312" w:eastAsia="仿宋_GB2312"/>
        </w:rPr>
        <w:t>详见附件：12项目经理业绩.docx</w:t>
      </w:r>
    </w:p>
    <w:p>
      <w:pPr>
        <w:pStyle w:val="null3"/>
        <w:ind w:firstLine="960"/>
      </w:pPr>
      <w:r>
        <w:rPr>
          <w:rFonts w:ascii="仿宋_GB2312" w:hAnsi="仿宋_GB2312" w:cs="仿宋_GB2312" w:eastAsia="仿宋_GB2312"/>
        </w:rPr>
        <w:t>详见附件：13服务承诺.docx</w:t>
      </w:r>
    </w:p>
    <w:p>
      <w:pPr>
        <w:pStyle w:val="null3"/>
        <w:ind w:firstLine="960"/>
      </w:pPr>
      <w:r>
        <w:rPr>
          <w:rFonts w:ascii="仿宋_GB2312" w:hAnsi="仿宋_GB2312" w:cs="仿宋_GB2312" w:eastAsia="仿宋_GB2312"/>
        </w:rPr>
        <w:t>详见附件：14节能环保.docx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