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版本号：0617-26A2FZ2092.1B120260811001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临潼区2026年公务用车更新租赁项目(二次)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0617-26A2FZ2092.1B1</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临潼区2026年公务用车更新租赁项目(二次)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0617-26A2FZ2092.1B1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临潼区2026年公务用车更新租赁项目(二次)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本项目为西安市临潼区机关事务服务中心临潼区2026年公务用车更新租赁项目。具体内容及要求详见磋商文件。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采购包1（临潼区2026年公务用车更新租赁项目）：属于专门面向中小企业采购。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029-83810991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秦进、贾楠希、杨鑫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缴费时间：确定成交供应商后3日内，由成交供应商向招标代理机构一次付清招标代理服务费。 3. 银行信息：户 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本项目为西安市临潼区机关事务服务中心临潼区2026年公务用车更新租赁项目。具体内容及要求详见磋商文件。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536,000.00</w:t>
      </w:r>
    </w:p>
    <w:p>
      <w:pPr>
        <w:pStyle w:val="null3"/>
      </w:pPr>
      <w:r>
        <w:rPr>
          <w:rFonts w:ascii="仿宋_GB2312" w:hAnsi="仿宋_GB2312" w:cs="仿宋_GB2312" w:eastAsia="仿宋_GB2312"/>
        </w:rPr>
        <w:t>采购包最高限价（元）: 536,000.00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临潼区2026年公务用车更新租赁项目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标的名称：临潼区2026年公务用车更新租赁项目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、车辆使用服务费包含车辆使用权、车辆保险、原厂常规保养、保险范围内维修、车辆年审、</w:t>
            </w:r>
            <w:r>
              <w:rPr>
                <w:rFonts w:ascii="仿宋_GB2312" w:hAnsi="仿宋_GB2312" w:cs="仿宋_GB2312" w:eastAsia="仿宋_GB2312"/>
              </w:rPr>
              <w:t>7kW</w:t>
            </w:r>
            <w:r>
              <w:rPr>
                <w:rFonts w:ascii="仿宋_GB2312" w:hAnsi="仿宋_GB2312" w:cs="仿宋_GB2312" w:eastAsia="仿宋_GB2312"/>
              </w:rPr>
              <w:t>充电桩设备及安装（含</w:t>
            </w:r>
            <w:r>
              <w:rPr>
                <w:rFonts w:ascii="仿宋_GB2312" w:hAnsi="仿宋_GB2312" w:cs="仿宋_GB2312" w:eastAsia="仿宋_GB2312"/>
              </w:rPr>
              <w:t>30</w:t>
            </w:r>
            <w:r>
              <w:rPr>
                <w:rFonts w:ascii="仿宋_GB2312" w:hAnsi="仿宋_GB2312" w:cs="仿宋_GB2312" w:eastAsia="仿宋_GB2312"/>
              </w:rPr>
              <w:t>米线）、公务用车标识喷涂、车辆首次基础装潢（贴膜、脚垫、拖把等）、</w:t>
            </w:r>
            <w:r>
              <w:rPr>
                <w:rFonts w:ascii="仿宋_GB2312" w:hAnsi="仿宋_GB2312" w:cs="仿宋_GB2312" w:eastAsia="仿宋_GB2312"/>
              </w:rPr>
              <w:t>ETC</w:t>
            </w:r>
            <w:r>
              <w:rPr>
                <w:rFonts w:ascii="仿宋_GB2312" w:hAnsi="仿宋_GB2312" w:cs="仿宋_GB2312" w:eastAsia="仿宋_GB2312"/>
              </w:rPr>
              <w:t>设备安装、车辆上牌、相关税费、公车信息化定位设备安装等全部服务。具体按服务商实际折扣率进行收取。</w:t>
            </w:r>
          </w:p>
          <w:p>
            <w:pPr>
              <w:pStyle w:val="null3"/>
            </w:pPr>
            <w:r>
              <w:rPr>
                <w:rFonts w:ascii="仿宋_GB2312" w:hAnsi="仿宋_GB2312" w:cs="仿宋_GB2312" w:eastAsia="仿宋_GB2312"/>
              </w:rPr>
              <w:t>2</w:t>
            </w:r>
            <w:r>
              <w:rPr>
                <w:rFonts w:ascii="仿宋_GB2312" w:hAnsi="仿宋_GB2312" w:cs="仿宋_GB2312" w:eastAsia="仿宋_GB2312"/>
              </w:rPr>
              <w:t>、如需额外增加以上不涉及的服务内容，可与供应商自行协商，费用额外承担。运行维护服务费由使用单位自行承担。</w:t>
            </w:r>
          </w:p>
          <w:tbl>
            <w:tblPr>
              <w:tblInd w:type="dxa" w:w="135"/>
              <w:tblBorders>
                <w:top w:val="none" w:color="000000" w:sz="4"/>
                <w:left w:val="none" w:color="000000" w:sz="4"/>
                <w:bottom w:val="none" w:color="000000" w:sz="4"/>
                <w:right w:val="none" w:color="000000" w:sz="4"/>
                <w:insideH w:val="none"/>
                <w:insideV w:val="none"/>
              </w:tblBorders>
            </w:tblPr>
            <w:tblGrid>
              <w:gridCol w:w="561"/>
              <w:gridCol w:w="774"/>
              <w:gridCol w:w="802"/>
              <w:gridCol w:w="416"/>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车型</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使用服务费</w:t>
                  </w:r>
                  <w:r>
                    <w:rPr>
                      <w:rFonts w:ascii="仿宋_GB2312" w:hAnsi="仿宋_GB2312" w:cs="仿宋_GB2312" w:eastAsia="仿宋_GB2312"/>
                      <w:sz w:val="19"/>
                    </w:rPr>
                    <w:t>/月（元）</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颜色</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微面</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1948</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紧凑型轿车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2146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中型轿车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2543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中型轿车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2543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中型皮卡</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2741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中大型轿车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336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w:t>
                  </w:r>
                  <w:r>
                    <w:rPr>
                      <w:rFonts w:ascii="仿宋_GB2312" w:hAnsi="仿宋_GB2312" w:cs="仿宋_GB2312" w:eastAsia="仿宋_GB2312"/>
                      <w:sz w:val="19"/>
                    </w:rPr>
                    <w:t>/白</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2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6座新能源微面</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1；指导价：不超过9万元；数量：6</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≥50-56KWH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0.33-0.5小时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≥100-110KW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390-440KM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≥5010-5270mm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≥1800-1890mm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≥1960-1998mm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≥3050-3400mm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前通风盘</w:t>
                  </w:r>
                  <w:r>
                    <w:rPr>
                      <w:rFonts w:ascii="仿宋_GB2312" w:hAnsi="仿宋_GB2312" w:cs="仿宋_GB2312" w:eastAsia="仿宋_GB2312"/>
                      <w:sz w:val="19"/>
                    </w:rPr>
                    <w:t>/实心盘；后实心盘/鼓式</w:t>
                  </w: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5座新能源中型轿车</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2；指导价：不超过12万元；数量：3</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≥56-58KWH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0.33-0.4小时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≥545-550KM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≥4720-4935mm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≥1880-1905mm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≥1495-1500mm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≥2820-2845mm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前通风盘</w:t>
                  </w:r>
                  <w:r>
                    <w:rPr>
                      <w:rFonts w:ascii="仿宋_GB2312" w:hAnsi="仿宋_GB2312" w:cs="仿宋_GB2312" w:eastAsia="仿宋_GB2312"/>
                      <w:sz w:val="19"/>
                    </w:rPr>
                    <w:t>/后实心盘</w:t>
                  </w: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5座新能源紧凑型轿车</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3；指导价：不超过10万元；数量：2</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≥53-58KWH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0.18-0.33小时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≥500-530KM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≥4770-4795mm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≥1837-1880mm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≥1490-1515mm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≥2718-2735mm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前通风盘</w:t>
                  </w:r>
                  <w:r>
                    <w:rPr>
                      <w:rFonts w:ascii="仿宋_GB2312" w:hAnsi="仿宋_GB2312" w:cs="仿宋_GB2312" w:eastAsia="仿宋_GB2312"/>
                      <w:sz w:val="19"/>
                    </w:rPr>
                    <w:t>/后实心盘</w:t>
                  </w: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5座新能源中型轿车</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4；指导价：不超过12万元；数量：1</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≥56-58KWH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0.33-0.4小时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≥545-550KM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≥4720-4935mm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≥1880-1905mm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≥1495-1500mm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≥2820-2845mm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前通风盘</w:t>
                  </w:r>
                  <w:r>
                    <w:rPr>
                      <w:rFonts w:ascii="仿宋_GB2312" w:hAnsi="仿宋_GB2312" w:cs="仿宋_GB2312" w:eastAsia="仿宋_GB2312"/>
                      <w:sz w:val="19"/>
                    </w:rPr>
                    <w:t>/后实心盘</w:t>
                  </w: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5座新能源中型皮卡</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5；指导价：不超过13万元；数量：6</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≥60-63KWH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0.33小时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≥150-180KW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≥405-430KM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≥5500-5630mm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≥1900-1940mm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≥1845-1870mm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≥3310-3400mm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前通风盘</w:t>
                  </w:r>
                  <w:r>
                    <w:rPr>
                      <w:rFonts w:ascii="仿宋_GB2312" w:hAnsi="仿宋_GB2312" w:cs="仿宋_GB2312" w:eastAsia="仿宋_GB2312"/>
                      <w:sz w:val="19"/>
                    </w:rPr>
                    <w:t>/后实心盘</w:t>
                  </w:r>
                </w:p>
              </w:tc>
            </w:tr>
          </w:tbl>
          <w:p>
            <w:pPr>
              <w:pStyle w:val="null3"/>
              <w:jc w:val="center"/>
            </w:pPr>
            <w:r>
              <w:rPr>
                <w:rFonts w:ascii="仿宋_GB2312" w:hAnsi="仿宋_GB2312" w:cs="仿宋_GB2312" w:eastAsia="仿宋_GB2312"/>
              </w:rPr>
              <w:t>【采购包】国产自主品牌</w:t>
            </w:r>
            <w:r>
              <w:rPr>
                <w:rFonts w:ascii="仿宋_GB2312" w:hAnsi="仿宋_GB2312" w:cs="仿宋_GB2312" w:eastAsia="仿宋_GB2312"/>
              </w:rPr>
              <w:t>5座新能源中大型轿车</w:t>
            </w:r>
          </w:p>
          <w:tbl>
            <w:tblPr>
              <w:tblBorders>
                <w:top w:val="none" w:color="000000" w:sz="4"/>
                <w:left w:val="none" w:color="000000" w:sz="4"/>
                <w:bottom w:val="none" w:color="000000" w:sz="4"/>
                <w:right w:val="none" w:color="000000" w:sz="4"/>
                <w:insideH w:val="none"/>
                <w:insideV w:val="none"/>
              </w:tblBorders>
            </w:tblPr>
            <w:tblGrid>
              <w:gridCol w:w="399"/>
              <w:gridCol w:w="1091"/>
              <w:gridCol w:w="2333"/>
            </w:tblGrid>
            <w:tr>
              <w:tc>
                <w:tcPr>
                  <w:tcW w:type="dxa" w:w="399"/>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91"/>
                  <w:tcBorders>
                    <w:top w:val="single" w:color="000000" w:sz="8"/>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2333"/>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技术参数及配置</w:t>
                  </w:r>
                </w:p>
              </w:tc>
            </w:tr>
            <w:tr>
              <w:tc>
                <w:tcPr>
                  <w:tcW w:type="dxa" w:w="3823"/>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车辆</w:t>
                  </w:r>
                  <w:r>
                    <w:rPr>
                      <w:rFonts w:ascii="仿宋_GB2312" w:hAnsi="仿宋_GB2312" w:cs="仿宋_GB2312" w:eastAsia="仿宋_GB2312"/>
                      <w:sz w:val="19"/>
                    </w:rPr>
                    <w:t>6；指导价：不超过16万元；数量：2</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能源类型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纯电</w:t>
                  </w:r>
                </w:p>
              </w:tc>
            </w:tr>
            <w:tr>
              <w:tc>
                <w:tcPr>
                  <w:tcW w:type="dxa" w:w="39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磷酸铁锂</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电池能量</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≥62-68KWH</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电池快充时间</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0.33-0.42小时</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电机类型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永磁</w:t>
                  </w:r>
                  <w:r>
                    <w:rPr>
                      <w:rFonts w:ascii="仿宋_GB2312" w:hAnsi="仿宋_GB2312" w:cs="仿宋_GB2312" w:eastAsia="仿宋_GB2312"/>
                      <w:sz w:val="19"/>
                    </w:rPr>
                    <w:t>/同步</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电动机总功率</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≥168-250KW</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CLTC纯电续航里程</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≥605-700KM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▲车身总长</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≥4995-5010mm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▲车身总宽</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≥1910-1920mm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▲车身总高</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≥1465-1495mm</w:t>
                  </w:r>
                </w:p>
              </w:tc>
            </w:tr>
            <w:tr>
              <w:tc>
                <w:tcPr>
                  <w:tcW w:type="dxa" w:w="3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轴距</w:t>
                  </w:r>
                </w:p>
              </w:tc>
              <w:tc>
                <w:tcPr>
                  <w:tcW w:type="dxa" w:w="2333"/>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≥2920-2925mm</w:t>
                  </w:r>
                </w:p>
              </w:tc>
            </w:tr>
            <w:tr>
              <w:tc>
                <w:tcPr>
                  <w:tcW w:type="dxa" w:w="3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制动型式</w:t>
                  </w:r>
                </w:p>
              </w:tc>
              <w:tc>
                <w:tcPr>
                  <w:tcW w:type="dxa" w:w="2333"/>
                  <w:tcBorders>
                    <w:top w:val="singl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w:t>
                  </w:r>
                  <w:r>
                    <w:rPr>
                      <w:rFonts w:ascii="仿宋_GB2312" w:hAnsi="仿宋_GB2312" w:cs="仿宋_GB2312" w:eastAsia="仿宋_GB2312"/>
                      <w:sz w:val="19"/>
                    </w:rPr>
                    <w:t>/后通风盘</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3"/>
            </w:pPr>
            <w:r>
              <w:rPr>
                <w:rFonts w:ascii="仿宋_GB2312" w:hAnsi="仿宋_GB2312" w:cs="仿宋_GB2312" w:eastAsia="仿宋_GB2312"/>
                <w:sz w:val="20"/>
                <w:b/>
              </w:rPr>
              <w:t>（一）车辆交付要求</w:t>
            </w:r>
          </w:p>
          <w:p>
            <w:pPr>
              <w:pStyle w:val="null3"/>
            </w:pPr>
            <w:r>
              <w:rPr>
                <w:rFonts w:ascii="仿宋_GB2312" w:hAnsi="仿宋_GB2312" w:cs="仿宋_GB2312" w:eastAsia="仿宋_GB2312"/>
                <w:sz w:val="20"/>
              </w:rPr>
              <w:t xml:space="preserve">1. 交付时间 1. 合同签订后 </w:t>
            </w:r>
            <w:r>
              <w:rPr>
                <w:rFonts w:ascii="仿宋_GB2312" w:hAnsi="仿宋_GB2312" w:cs="仿宋_GB2312" w:eastAsia="仿宋_GB2312"/>
                <w:sz w:val="20"/>
              </w:rPr>
              <w:t>45</w:t>
            </w:r>
            <w:r>
              <w:rPr>
                <w:rFonts w:ascii="仿宋_GB2312" w:hAnsi="仿宋_GB2312" w:cs="仿宋_GB2312" w:eastAsia="仿宋_GB2312"/>
                <w:sz w:val="20"/>
              </w:rPr>
              <w:t>个日历日内，服务供应方须完成首批车辆（不少于总车辆数的</w:t>
            </w:r>
            <w:r>
              <w:rPr>
                <w:rFonts w:ascii="仿宋_GB2312" w:hAnsi="仿宋_GB2312" w:cs="仿宋_GB2312" w:eastAsia="仿宋_GB2312"/>
                <w:sz w:val="20"/>
              </w:rPr>
              <w:t xml:space="preserve">50%）的交付； 2. 合同签订后 </w:t>
            </w:r>
            <w:r>
              <w:rPr>
                <w:rFonts w:ascii="仿宋_GB2312" w:hAnsi="仿宋_GB2312" w:cs="仿宋_GB2312" w:eastAsia="仿宋_GB2312"/>
                <w:sz w:val="20"/>
              </w:rPr>
              <w:t>45</w:t>
            </w:r>
            <w:r>
              <w:rPr>
                <w:rFonts w:ascii="仿宋_GB2312" w:hAnsi="仿宋_GB2312" w:cs="仿宋_GB2312" w:eastAsia="仿宋_GB2312"/>
                <w:sz w:val="20"/>
              </w:rPr>
              <w:t>个日历日内，完成全部车辆的交付；</w:t>
            </w:r>
            <w:r>
              <w:rPr>
                <w:rFonts w:ascii="仿宋_GB2312" w:hAnsi="仿宋_GB2312" w:cs="仿宋_GB2312" w:eastAsia="仿宋_GB2312"/>
                <w:sz w:val="20"/>
              </w:rPr>
              <w:t>3. 因不可抗力或采购统筹方原因导致延迟的，交付时间相应顺延，但服务供应方须在事件发生之日起3个工作日内书面通知采购统筹方。</w:t>
            </w:r>
          </w:p>
          <w:p>
            <w:pPr>
              <w:pStyle w:val="null3"/>
              <w:spacing w:after="120"/>
              <w:jc w:val="both"/>
            </w:pPr>
            <w:r>
              <w:rPr>
                <w:rFonts w:ascii="仿宋_GB2312" w:hAnsi="仿宋_GB2312" w:cs="仿宋_GB2312" w:eastAsia="仿宋_GB2312"/>
                <w:sz w:val="20"/>
              </w:rPr>
              <w:t>2. 交付标准 1. 交付车辆须为全新车辆，行驶里程≤500公里，出厂日期距交付日期不超过6个月； 2. 车辆须完成上牌、购置税缴纳、交强险及商业险投保、ETC安装、公务标识喷涂、信息化定位设备安装、首次基础装潢（贴膜、脚垫、拖把等）； 3. 充电桩设备须在车辆交付后 7个工作日内 完成安装调试并交付使用； 4. 交付时须提供以下文件资料： - 机动车登记证书（大绿本） - 机动车行驶证 - 车辆购置税完税证明 - 保险单正本（含交强险、商业险） - 车辆合格证/一致性证书 - 三包凭证及保养手册 - 充电桩安装验收单 - 车辆交接验收单（双方签署）</w:t>
            </w:r>
          </w:p>
          <w:p>
            <w:pPr>
              <w:pStyle w:val="null3"/>
              <w:spacing w:after="120"/>
              <w:jc w:val="both"/>
            </w:pPr>
            <w:r>
              <w:rPr>
                <w:rFonts w:ascii="仿宋_GB2312" w:hAnsi="仿宋_GB2312" w:cs="仿宋_GB2312" w:eastAsia="仿宋_GB2312"/>
                <w:sz w:val="20"/>
              </w:rPr>
              <w:t>3. 验收程序 1. 车辆交付时，由车辆使用单位、服务供应方共同进行验收； 2. 验收内容包括：车辆外观、内饰、行驶里程、随车工具、证件资料、设备功能测试； 3. 验收不合格的，车辆使用单位有权拒绝接收，服务供应方须在 3个工作日内 更换或整改； 4. 验收合格后，双方签署《车辆交接验收单》，车辆风险转移至车辆使用单位。</w:t>
            </w:r>
          </w:p>
          <w:p>
            <w:pPr>
              <w:pStyle w:val="null3"/>
              <w:spacing w:after="120"/>
              <w:jc w:val="both"/>
            </w:pPr>
            <w:r>
              <w:rPr>
                <w:rFonts w:ascii="仿宋_GB2312" w:hAnsi="仿宋_GB2312" w:cs="仿宋_GB2312" w:eastAsia="仿宋_GB2312"/>
                <w:sz w:val="20"/>
                <w:b/>
              </w:rPr>
              <w:t>（二）保险要求</w:t>
            </w:r>
          </w:p>
          <w:p>
            <w:pPr>
              <w:pStyle w:val="null3"/>
              <w:spacing w:after="120"/>
              <w:jc w:val="both"/>
            </w:pPr>
            <w:r>
              <w:rPr>
                <w:rFonts w:ascii="仿宋_GB2312" w:hAnsi="仿宋_GB2312" w:cs="仿宋_GB2312" w:eastAsia="仿宋_GB2312"/>
                <w:sz w:val="20"/>
              </w:rPr>
              <w:t>1. 保险险种及保额标准</w:t>
            </w:r>
          </w:p>
          <w:tbl>
            <w:tblPr>
              <w:tblBorders>
                <w:top w:val="none" w:color="000000" w:sz="4"/>
                <w:left w:val="none" w:color="000000" w:sz="4"/>
                <w:bottom w:val="none" w:color="000000" w:sz="4"/>
                <w:right w:val="none" w:color="000000" w:sz="4"/>
                <w:insideH w:val="none"/>
                <w:insideV w:val="none"/>
              </w:tblBorders>
            </w:tblPr>
            <w:tblGrid>
              <w:gridCol w:w="528"/>
              <w:gridCol w:w="528"/>
              <w:gridCol w:w="969"/>
              <w:gridCol w:w="528"/>
            </w:tblGrid>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序号</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险种</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保额</w:t>
                  </w:r>
                  <w:r>
                    <w:rPr>
                      <w:rFonts w:ascii="仿宋_GB2312" w:hAnsi="仿宋_GB2312" w:cs="仿宋_GB2312" w:eastAsia="仿宋_GB2312"/>
                      <w:sz w:val="20"/>
                    </w:rPr>
                    <w:t>/标准</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备注</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1</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机动车交通事故责任强制保险（交强险）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按国家规定标准</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法定强制</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2</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机动车损失保险（车损险）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车辆实际价值</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足额投保，不得免赔</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3</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第三者责任保险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不低于</w:t>
                  </w:r>
                  <w:r>
                    <w:rPr>
                      <w:rFonts w:ascii="仿宋_GB2312" w:hAnsi="仿宋_GB2312" w:cs="仿宋_GB2312" w:eastAsia="仿宋_GB2312"/>
                      <w:sz w:val="20"/>
                    </w:rPr>
                    <w:t>300万元</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主险</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4</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车上人员责任险（司机</w:t>
                  </w:r>
                  <w:r>
                    <w:rPr>
                      <w:rFonts w:ascii="仿宋_GB2312" w:hAnsi="仿宋_GB2312" w:cs="仿宋_GB2312" w:eastAsia="仿宋_GB2312"/>
                      <w:sz w:val="20"/>
                    </w:rPr>
                    <w:t>+乘客）</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每座不低于</w:t>
                  </w:r>
                  <w:r>
                    <w:rPr>
                      <w:rFonts w:ascii="仿宋_GB2312" w:hAnsi="仿宋_GB2312" w:cs="仿宋_GB2312" w:eastAsia="仿宋_GB2312"/>
                      <w:sz w:val="20"/>
                    </w:rPr>
                    <w:t>50万元</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全车驾乘人员意外险</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5</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医保外用药责任险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不低于</w:t>
                  </w:r>
                  <w:r>
                    <w:rPr>
                      <w:rFonts w:ascii="仿宋_GB2312" w:hAnsi="仿宋_GB2312" w:cs="仿宋_GB2312" w:eastAsia="仿宋_GB2312"/>
                      <w:sz w:val="20"/>
                    </w:rPr>
                    <w:t>50万元</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第三者责任附加险</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6</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电网故障损失险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车辆实际价值</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新能源车专用</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7</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不计免赔率险</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覆盖上述商业险</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不得设置免赔额</w:t>
                  </w:r>
                </w:p>
              </w:tc>
            </w:tr>
            <w:tr>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8</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道路救援服务</w:t>
                  </w:r>
                </w:p>
              </w:tc>
              <w:tc>
                <w:tcPr>
                  <w:tcW w:type="dxa" w:w="9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全年不限次数</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含拖车、送油、搭电等</w:t>
                  </w:r>
                </w:p>
              </w:tc>
            </w:tr>
          </w:tbl>
          <w:p>
            <w:pPr>
              <w:pStyle w:val="null3"/>
              <w:spacing w:after="120"/>
              <w:jc w:val="both"/>
            </w:pPr>
            <w:r>
              <w:rPr>
                <w:rFonts w:ascii="仿宋_GB2312" w:hAnsi="仿宋_GB2312" w:cs="仿宋_GB2312" w:eastAsia="仿宋_GB2312"/>
                <w:sz w:val="20"/>
              </w:rPr>
              <w:t>2. 保单管理要求 1. 服务供应方须在车辆交付前完成保险投保，保险生效日期不得晚于车辆交付日期； 2. 保险单须以服务供应方为被保险人，并注明车辆使用单位为”受益使用方”； 3. 服务供应方须在保险到期前 15日 完成续保，并向车辆使用单位提供续保保单复印件； 4. 保险期间内，服务供应方不得擅自退保、减保或变更保险条款； 5. 车辆使用单位有权随时查验保险单正本，服务供应方应予配合； 6. 发生保险事故时，服务供应方须在 1小时内 协助车辆使用单位向保险公司报案，并全程协助理赔。</w:t>
            </w:r>
          </w:p>
          <w:p>
            <w:pPr>
              <w:pStyle w:val="null3"/>
              <w:spacing w:after="120"/>
              <w:jc w:val="both"/>
            </w:pPr>
            <w:r>
              <w:rPr>
                <w:rFonts w:ascii="仿宋_GB2312" w:hAnsi="仿宋_GB2312" w:cs="仿宋_GB2312" w:eastAsia="仿宋_GB2312"/>
                <w:sz w:val="20"/>
                <w:b/>
              </w:rPr>
              <w:t>（三）车辆产权及权属管理</w:t>
            </w:r>
          </w:p>
          <w:p>
            <w:pPr>
              <w:pStyle w:val="null3"/>
              <w:spacing w:after="120"/>
              <w:jc w:val="both"/>
            </w:pPr>
            <w:r>
              <w:rPr>
                <w:rFonts w:ascii="仿宋_GB2312" w:hAnsi="仿宋_GB2312" w:cs="仿宋_GB2312" w:eastAsia="仿宋_GB2312"/>
                <w:sz w:val="20"/>
              </w:rPr>
              <w:t>1. 产权归属 1. 租赁期间，车辆所有权归服务供应方所有； 2. 服务供应方须保证车辆产权清晰，不存在任何抵押、质押、查封、权属争议或其他权利限制； 3. 服务供应方须在车辆交付时提供机动车登记证书原件供车辆使用单位核验，并留存复印件备案。</w:t>
            </w:r>
          </w:p>
          <w:p>
            <w:pPr>
              <w:pStyle w:val="null3"/>
              <w:spacing w:after="120"/>
              <w:jc w:val="both"/>
            </w:pPr>
            <w:r>
              <w:rPr>
                <w:rFonts w:ascii="仿宋_GB2312" w:hAnsi="仿宋_GB2312" w:cs="仿宋_GB2312" w:eastAsia="仿宋_GB2312"/>
                <w:sz w:val="20"/>
              </w:rPr>
              <w:t>2. 权属限制 1. 租赁期间，服务供应方不得将车辆转让、抵押、质押、出租给第三方或设置任何权利负担； 2. 服务供应方因自身债务导致车辆被查封、扣押的，须在事件发生之日起 24小时内 书面通知采购统筹方和车辆使用单位，并负责在 3个工作日内 解除查封或提供等值替代车辆； 3. 车辆使用单位仅享有使用权，不得擅自处置车辆或改变车辆用途。</w:t>
            </w:r>
          </w:p>
          <w:p>
            <w:pPr>
              <w:pStyle w:val="null3"/>
              <w:spacing w:after="120"/>
              <w:jc w:val="both"/>
            </w:pPr>
            <w:r>
              <w:rPr>
                <w:rFonts w:ascii="仿宋_GB2312" w:hAnsi="仿宋_GB2312" w:cs="仿宋_GB2312" w:eastAsia="仿宋_GB2312"/>
                <w:sz w:val="20"/>
              </w:rPr>
              <w:t>3. 产权证明管理 1. 服务供应方须每半年向采购统筹方提供一次车辆产权状况声明； 2. 采购统筹方有权随时通过车辆管理部门查询车辆权属状态。</w:t>
            </w:r>
          </w:p>
          <w:p>
            <w:pPr>
              <w:pStyle w:val="null3"/>
              <w:spacing w:after="120"/>
              <w:jc w:val="both"/>
            </w:pPr>
            <w:r>
              <w:rPr>
                <w:rFonts w:ascii="仿宋_GB2312" w:hAnsi="仿宋_GB2312" w:cs="仿宋_GB2312" w:eastAsia="仿宋_GB2312"/>
                <w:sz w:val="20"/>
                <w:b/>
              </w:rPr>
              <w:t>（四）车辆安全管理</w:t>
            </w:r>
          </w:p>
          <w:p>
            <w:pPr>
              <w:pStyle w:val="null3"/>
              <w:spacing w:after="120"/>
              <w:jc w:val="both"/>
            </w:pPr>
            <w:r>
              <w:rPr>
                <w:rFonts w:ascii="仿宋_GB2312" w:hAnsi="仿宋_GB2312" w:cs="仿宋_GB2312" w:eastAsia="仿宋_GB2312"/>
                <w:sz w:val="20"/>
              </w:rPr>
              <w:t>1. 车辆技术安全 1. 服务供应方须确保交付车辆符合国家强制性安全技术标准，具备完整的出厂合格证； 2. 服务供应方负责车辆的定期保养（按厂家规定周期）和年检，确保车辆始终处于适行状态； 3. 服务供应方须建立车辆安全技术档案，记录保养、维修、年检、事故等情况，并按月向车辆使用单位报送； 4. 车辆使用单位发现车辆存在安全隐患的，有权要求服务供应方在 24小时内 进行检修。</w:t>
            </w:r>
          </w:p>
          <w:p>
            <w:pPr>
              <w:pStyle w:val="null3"/>
              <w:spacing w:after="120"/>
              <w:jc w:val="both"/>
            </w:pPr>
            <w:r>
              <w:rPr>
                <w:rFonts w:ascii="仿宋_GB2312" w:hAnsi="仿宋_GB2312" w:cs="仿宋_GB2312" w:eastAsia="仿宋_GB2312"/>
                <w:sz w:val="20"/>
              </w:rPr>
              <w:t>2. 信息化安全管理 1. 服务供应方负责安装并维护公务用车信息化定位设备，确保设备 24小时在线、数据实时上传； 2. 定位设备不得擅自拆除、关闭或干扰，因设备故障导致数据中断的，服务供应方须在 4小时内 修复； 3. 车辆使用轨迹数据归采购统筹方所有，服务供应方仅提供技术服务，不得擅自访问、使用或泄露数据； 4. 服务供应方须与采购统筹方签订《数据安全保密协议》，明确数据使用范围和安全责任。</w:t>
            </w:r>
          </w:p>
          <w:p>
            <w:pPr>
              <w:pStyle w:val="null3"/>
              <w:spacing w:after="120"/>
              <w:jc w:val="both"/>
            </w:pPr>
            <w:r>
              <w:rPr>
                <w:rFonts w:ascii="仿宋_GB2312" w:hAnsi="仿宋_GB2312" w:cs="仿宋_GB2312" w:eastAsia="仿宋_GB2312"/>
                <w:sz w:val="20"/>
              </w:rPr>
              <w:t>3. 充电安全管理 1. 充电桩安装须符合国家电气安全标准（GB/T 18487、GB/T 20234），由具备资质的施工单位实施； 2. 服务供应方负责充电桩的定期安全检测（每半年一次），并出具检测报告； 3. 充电桩发生故障或安全事故的，服务供应方须在 2小时内 响应，24小时内 修复或更换。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其他，1.本项目租赁服务费用纳入区级财政预算保障，项目实施统采分签，甲方统一将项目金额拨付至车辆使用单位，由车辆使用单位与乙方分签合同进行费用结算。 2.每期结算前，乙方须向车辆使用单位提供合法合规等额增值税正规发票，使用单位按照区财政资金拨付流程进行支付。 3.本项目为政府采购项目，若因相关政策或财务程序等影响，导致使用单位不能及时付款，乙方应予以宽容，不构成违约。，达到付款条件起10个工作日内，支付合同总金额的100.0%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1、本项目采购标的对应的中小企业划分标准所属行业为租赁和商务服务业。 ★2、本项目商务要求为实质性条款，请供应商在采购文件对应格式中进行响应。 本项目竞争性磋商文件集中的合同为合同模板，如合同中出现与采购需求相关的内容与本变更公告或变更后的竞争性磋商文件不一致的情形，以本公告及变更后的竞争性磋商文件为准。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三）具有履行合同所必需的设备和专业技术能力。提供基本资格条件承诺函。（四）具有依法缴纳税收的良好记录。提供缴费所属日期为投标截止时间前12个月内任意六个月的缴费凭据或税务机关出具的完税证明/在法规范围内不需提供的应出具书面说明和证明文件；或基本资格条件承诺函（五）具有依法缴纳社会保障资金的良好记录。提供缴费所属日期为投标截止时间前12个月内任意六个月的缴费凭据或社保机关出具的缴费证明/在法规范围内不需提供的应出具书面说明和证明文件；或基本资格条件承诺函（六）参加政府采购活动前3年内在经营活动中没有重大违法记录的书面声明；提供基本资格条件承诺函（七）法人代表授权书。</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技术商务部分.docx 响应文件封面 中小企业声明函 残疾人福利性单位声明函 标的清单 报价表 资格部分.docx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满足第三章3.2.2服务要求的服务内容及要求，得30分，每有1项指标负偏离或不满足扣1分，每有1项标注“▲”指标负偏离扣3分，扣完为止。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针对本项目提供具体可行的服务方案，包括但不限于①实施方案；②安全保障实施方案；③服务质量保证。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拟投入车辆配备合理的承诺</w:t>
            </w:r>
          </w:p>
        </w:tc>
        <w:tc>
          <w:tcPr>
            <w:tcW w:type="dxa" w:w="2492"/>
          </w:tcPr>
          <w:p>
            <w:pPr>
              <w:pStyle w:val="null3"/>
            </w:pPr>
            <w:r>
              <w:rPr>
                <w:rFonts w:ascii="仿宋_GB2312" w:hAnsi="仿宋_GB2312" w:cs="仿宋_GB2312" w:eastAsia="仿宋_GB2312"/>
              </w:rPr>
              <w:t>提供的承诺需包含每种车辆的①车辆的合法来源证明材料、②使用年限、③ 车辆配置。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供应商具备完善的管理制度，包括①用车管理制度，②车辆安全管理制度， ③人员管理制度，④档案管理制度，⑤车辆维修保养制度；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安全运营管理方案</w:t>
            </w:r>
          </w:p>
        </w:tc>
        <w:tc>
          <w:tcPr>
            <w:tcW w:type="dxa" w:w="2492"/>
          </w:tcPr>
          <w:p>
            <w:pPr>
              <w:pStyle w:val="null3"/>
            </w:pPr>
            <w:r>
              <w:rPr>
                <w:rFonts w:ascii="仿宋_GB2312" w:hAnsi="仿宋_GB2312" w:cs="仿宋_GB2312" w:eastAsia="仿宋_GB2312"/>
              </w:rPr>
              <w:t>供应商具有安全运营管理方案，包括①安全配置、②安全行车、③车辆维护、 ④技术管理、⑤人员培训等赋分。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车辆清洁方案</w:t>
            </w:r>
          </w:p>
        </w:tc>
        <w:tc>
          <w:tcPr>
            <w:tcW w:type="dxa" w:w="2492"/>
          </w:tcPr>
          <w:p>
            <w:pPr>
              <w:pStyle w:val="null3"/>
            </w:pPr>
            <w:r>
              <w:rPr>
                <w:rFonts w:ascii="仿宋_GB2312" w:hAnsi="仿宋_GB2312" w:cs="仿宋_GB2312" w:eastAsia="仿宋_GB2312"/>
              </w:rPr>
              <w:t>针对本项目实际情况，提供所租赁车辆的①清洁、②消毒方案。评审依据：每一项内容描述详细，切实可行符合项目实际内容得1.5分，合计得3分。内容①～②项任意一项缺项扣1.5分，扣完为止；内容①～②项每出现一项内容缺陷（缺陷是指：内容不详细具体、条理不清晰、描述过于简单、与项目特点不匹配、凭空编造、出现常识性错误、不可能实现的夸大情形、存在不适用项目实际情况的情形等）扣0-1.5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用车流程</w:t>
            </w:r>
          </w:p>
        </w:tc>
        <w:tc>
          <w:tcPr>
            <w:tcW w:type="dxa" w:w="2492"/>
          </w:tcPr>
          <w:p>
            <w:pPr>
              <w:pStyle w:val="null3"/>
            </w:pPr>
            <w:r>
              <w:rPr>
                <w:rFonts w:ascii="仿宋_GB2312" w:hAnsi="仿宋_GB2312" w:cs="仿宋_GB2312" w:eastAsia="仿宋_GB2312"/>
              </w:rPr>
              <w:t>供应商依据本项目采购内容编制用车流程。①用车服务流程、②车辆调度流程、③还车交接流程、④费用结算流程、⑤台账备案流程。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供应商2023年1月1日至今已完成的同类项目业绩证明材料，每提供1份有效业绩得1分，最多得10分。 备注：提供合同复印件，以合同签订日期为准（需包含封面页、合同服务内容页、金额页、签章页）并加盖供应商公章，未按要求提供相关证明材料不得分。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