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8C1BA7">
      <w:pPr>
        <w:kinsoku/>
        <w:spacing w:line="600" w:lineRule="exact"/>
        <w:ind w:firstLine="444" w:firstLineChars="100"/>
        <w:jc w:val="both"/>
        <w:rPr>
          <w:rFonts w:hint="eastAsia" w:ascii="方正小标宋简体" w:hAnsi="方正小标宋简体" w:eastAsia="方正小标宋简体" w:cs="方正小标宋简体"/>
          <w:color w:val="auto"/>
          <w:spacing w:val="2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pacing w:val="2"/>
          <w:sz w:val="44"/>
          <w:szCs w:val="44"/>
          <w:lang w:eastAsia="zh-CN"/>
        </w:rPr>
        <w:t>临潼区2026年度公务用车更新租赁项目</w:t>
      </w:r>
    </w:p>
    <w:p w14:paraId="5C3A1534">
      <w:pPr>
        <w:kinsoku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pacing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2"/>
          <w:sz w:val="44"/>
          <w:szCs w:val="44"/>
          <w:lang w:eastAsia="zh-CN"/>
        </w:rPr>
        <w:t>采购合同</w:t>
      </w:r>
    </w:p>
    <w:p w14:paraId="7841138A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</w:p>
    <w:p w14:paraId="4330B695">
      <w:pPr>
        <w:kinsoku/>
        <w:spacing w:line="600" w:lineRule="exact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甲方（采购统筹方）：西安市临潼区机关事务服务中心</w:t>
      </w:r>
    </w:p>
    <w:p w14:paraId="2CF5764D">
      <w:pPr>
        <w:kinsoku/>
        <w:spacing w:line="600" w:lineRule="exact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乙方（服务供应方）：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single"/>
          <w:lang w:eastAsia="zh-CN"/>
        </w:rPr>
        <w:t xml:space="preserve">                     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有限公司</w:t>
      </w:r>
    </w:p>
    <w:p w14:paraId="3AA02D8F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依据《西安市临潼区2026年度公务用车更新租赁项目》公开招标采购结果，乙方为本项目中标服务商。为规范全区公务用车租赁管理，明确双方权利义务、服务标准、费用结算、履约监管等事宜，本着平等自愿、公平公正、合法合规原则，订立本合同。</w:t>
      </w:r>
    </w:p>
    <w:p w14:paraId="55463844">
      <w:pPr>
        <w:kinsoku/>
        <w:spacing w:line="600" w:lineRule="exact"/>
        <w:ind w:firstLine="648" w:firstLineChars="200"/>
        <w:jc w:val="both"/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一、服务内容</w:t>
      </w:r>
    </w:p>
    <w:p w14:paraId="54E89334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1.甲方作为全区公务用车统一采购主体，统筹负责全区各党政机关事业单位公务出行车辆租赁调配、经费管理、车型审核、平台监管、履约考核等工作。</w:t>
      </w:r>
    </w:p>
    <w:p w14:paraId="5D8E3ECD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2.乙方按照采购要求，为全区各用车单位提供新能源公务车辆租赁全配套服务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。服务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包含车辆使用权、车辆保险、原厂常规保养、保险范围内维修、车辆年审、7kW充电桩设备及安装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（含30米线）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、公务用车标识喷涂、车辆首次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基础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装潢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（贴膜、脚垫、拖把等）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ETC设备安装、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车辆上牌、相关税费、公车信息化定位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设备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安装等全部服务。</w:t>
      </w:r>
    </w:p>
    <w:p w14:paraId="0C037C3B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3.乙方负责租赁车辆日常运维、故障抢修、售后保障、电池质保、事故协助处理，保障公务出行稳定有序。</w:t>
      </w:r>
    </w:p>
    <w:p w14:paraId="1C9B0831">
      <w:pPr>
        <w:widowControl w:val="0"/>
        <w:kinsoku/>
        <w:autoSpaceDE/>
        <w:autoSpaceDN/>
        <w:adjustRightInd/>
        <w:snapToGrid/>
        <w:spacing w:line="600" w:lineRule="exact"/>
        <w:ind w:firstLine="648" w:firstLineChars="200"/>
        <w:jc w:val="both"/>
        <w:textAlignment w:val="auto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4.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eastAsia="zh-CN"/>
        </w:rPr>
        <w:t>车辆使用服务费价格为采购控制（最高限价）价，具体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车辆规格和使用服务费控制价格见下表（最高限价）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eastAsia="zh-CN"/>
        </w:rPr>
        <w:t>服务企业在此基础统一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single"/>
          <w:lang w:eastAsia="zh-CN"/>
        </w:rPr>
        <w:t xml:space="preserve">     </w:t>
      </w:r>
      <w:r>
        <w:rPr>
          <w:rFonts w:ascii="Times New Roman" w:hAnsi="Times New Roman" w:eastAsia="仿宋_GB2312" w:cs="Times New Roman"/>
          <w:color w:val="auto"/>
          <w:sz w:val="32"/>
          <w:szCs w:val="32"/>
          <w:lang w:eastAsia="zh-CN"/>
        </w:rPr>
        <w:t>折。</w:t>
      </w:r>
    </w:p>
    <w:tbl>
      <w:tblPr>
        <w:tblStyle w:val="2"/>
        <w:tblpPr w:leftFromText="180" w:rightFromText="180" w:vertAnchor="text" w:horzAnchor="page" w:tblpX="1771" w:tblpY="66"/>
        <w:tblOverlap w:val="never"/>
        <w:tblW w:w="83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1058"/>
        <w:gridCol w:w="828"/>
        <w:gridCol w:w="1563"/>
        <w:gridCol w:w="1012"/>
        <w:gridCol w:w="888"/>
        <w:gridCol w:w="1227"/>
        <w:gridCol w:w="1271"/>
      </w:tblGrid>
      <w:tr w14:paraId="477EB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08" w:type="dxa"/>
            <w:noWrap w:val="0"/>
            <w:vAlign w:val="center"/>
          </w:tcPr>
          <w:p w14:paraId="151B6941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058" w:type="dxa"/>
            <w:noWrap w:val="0"/>
            <w:vAlign w:val="center"/>
          </w:tcPr>
          <w:p w14:paraId="65FB4295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车型</w:t>
            </w:r>
          </w:p>
        </w:tc>
        <w:tc>
          <w:tcPr>
            <w:tcW w:w="828" w:type="dxa"/>
            <w:noWrap w:val="0"/>
            <w:vAlign w:val="center"/>
          </w:tcPr>
          <w:p w14:paraId="1A28C634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车辆价格</w:t>
            </w:r>
          </w:p>
        </w:tc>
        <w:tc>
          <w:tcPr>
            <w:tcW w:w="1563" w:type="dxa"/>
            <w:noWrap w:val="0"/>
            <w:vAlign w:val="center"/>
          </w:tcPr>
          <w:p w14:paraId="2E629C5C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规格型号</w:t>
            </w:r>
          </w:p>
          <w:p w14:paraId="35AD3A95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（长×宽×高）</w:t>
            </w:r>
          </w:p>
        </w:tc>
        <w:tc>
          <w:tcPr>
            <w:tcW w:w="1012" w:type="dxa"/>
            <w:noWrap w:val="0"/>
            <w:vAlign w:val="center"/>
          </w:tcPr>
          <w:p w14:paraId="1FC54EDE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续航里程</w:t>
            </w:r>
          </w:p>
        </w:tc>
        <w:tc>
          <w:tcPr>
            <w:tcW w:w="888" w:type="dxa"/>
            <w:noWrap w:val="0"/>
            <w:vAlign w:val="center"/>
          </w:tcPr>
          <w:p w14:paraId="6B6BA655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数量</w:t>
            </w:r>
          </w:p>
        </w:tc>
        <w:tc>
          <w:tcPr>
            <w:tcW w:w="1227" w:type="dxa"/>
            <w:noWrap w:val="0"/>
            <w:vAlign w:val="center"/>
          </w:tcPr>
          <w:p w14:paraId="21A597E6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颜色</w:t>
            </w:r>
          </w:p>
        </w:tc>
        <w:tc>
          <w:tcPr>
            <w:tcW w:w="1271" w:type="dxa"/>
            <w:noWrap w:val="0"/>
            <w:vAlign w:val="center"/>
          </w:tcPr>
          <w:p w14:paraId="78B1E777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使用服务费/月</w:t>
            </w:r>
          </w:p>
        </w:tc>
      </w:tr>
      <w:tr w14:paraId="64E3F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noWrap w:val="0"/>
            <w:vAlign w:val="center"/>
          </w:tcPr>
          <w:p w14:paraId="78650F49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058" w:type="dxa"/>
            <w:noWrap w:val="0"/>
            <w:vAlign w:val="center"/>
          </w:tcPr>
          <w:p w14:paraId="15A1D286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微面</w:t>
            </w:r>
          </w:p>
        </w:tc>
        <w:tc>
          <w:tcPr>
            <w:tcW w:w="828" w:type="dxa"/>
            <w:noWrap w:val="0"/>
            <w:vAlign w:val="center"/>
          </w:tcPr>
          <w:p w14:paraId="740365AC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≤9</w:t>
            </w:r>
          </w:p>
        </w:tc>
        <w:tc>
          <w:tcPr>
            <w:tcW w:w="1563" w:type="dxa"/>
            <w:noWrap w:val="0"/>
            <w:vAlign w:val="center"/>
          </w:tcPr>
          <w:p w14:paraId="0AE60DDD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5910A15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888" w:type="dxa"/>
            <w:noWrap w:val="0"/>
            <w:vAlign w:val="center"/>
          </w:tcPr>
          <w:p w14:paraId="238EBB10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 w:bidi="ar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 w:bidi="ar"/>
              </w:rPr>
              <w:t>6</w:t>
            </w:r>
          </w:p>
        </w:tc>
        <w:tc>
          <w:tcPr>
            <w:tcW w:w="1227" w:type="dxa"/>
            <w:noWrap w:val="0"/>
            <w:vAlign w:val="center"/>
          </w:tcPr>
          <w:p w14:paraId="73513E6A">
            <w:pPr>
              <w:widowControl w:val="0"/>
              <w:jc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0BF8CE8F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1948</w:t>
            </w:r>
          </w:p>
        </w:tc>
      </w:tr>
      <w:tr w14:paraId="243E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noWrap w:val="0"/>
            <w:vAlign w:val="center"/>
          </w:tcPr>
          <w:p w14:paraId="138CDE22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1058" w:type="dxa"/>
            <w:noWrap w:val="0"/>
            <w:vAlign w:val="center"/>
          </w:tcPr>
          <w:p w14:paraId="56959ECD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紧凑型轿车</w:t>
            </w:r>
          </w:p>
        </w:tc>
        <w:tc>
          <w:tcPr>
            <w:tcW w:w="828" w:type="dxa"/>
            <w:noWrap w:val="0"/>
            <w:vAlign w:val="center"/>
          </w:tcPr>
          <w:p w14:paraId="5908F41E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≤9</w:t>
            </w:r>
          </w:p>
        </w:tc>
        <w:tc>
          <w:tcPr>
            <w:tcW w:w="1563" w:type="dxa"/>
            <w:noWrap w:val="0"/>
            <w:vAlign w:val="center"/>
          </w:tcPr>
          <w:p w14:paraId="63167C97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5FA08F9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888" w:type="dxa"/>
            <w:noWrap w:val="0"/>
            <w:vAlign w:val="center"/>
          </w:tcPr>
          <w:p w14:paraId="3FDD0227">
            <w:pPr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auto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1227" w:type="dxa"/>
            <w:noWrap w:val="0"/>
            <w:vAlign w:val="center"/>
          </w:tcPr>
          <w:p w14:paraId="0E7D2E8D">
            <w:pPr>
              <w:widowControl w:val="0"/>
              <w:jc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11DEC1DF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  <w:t>1948</w:t>
            </w:r>
          </w:p>
        </w:tc>
      </w:tr>
      <w:tr w14:paraId="438B8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noWrap w:val="0"/>
            <w:vAlign w:val="center"/>
          </w:tcPr>
          <w:p w14:paraId="74A5E8A2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1058" w:type="dxa"/>
            <w:noWrap w:val="0"/>
            <w:vAlign w:val="center"/>
          </w:tcPr>
          <w:p w14:paraId="28AE95CB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中型轿车</w:t>
            </w:r>
          </w:p>
        </w:tc>
        <w:tc>
          <w:tcPr>
            <w:tcW w:w="828" w:type="dxa"/>
            <w:noWrap w:val="0"/>
            <w:vAlign w:val="center"/>
          </w:tcPr>
          <w:p w14:paraId="54FABD62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≤12</w:t>
            </w:r>
          </w:p>
        </w:tc>
        <w:tc>
          <w:tcPr>
            <w:tcW w:w="1563" w:type="dxa"/>
            <w:noWrap w:val="0"/>
            <w:vAlign w:val="center"/>
          </w:tcPr>
          <w:p w14:paraId="7E95E3B0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A08290B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888" w:type="dxa"/>
            <w:noWrap w:val="0"/>
            <w:vAlign w:val="center"/>
          </w:tcPr>
          <w:p w14:paraId="6CB4CA87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 w:bidi="ar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 w:bidi="ar"/>
              </w:rPr>
              <w:t>3</w:t>
            </w:r>
          </w:p>
        </w:tc>
        <w:tc>
          <w:tcPr>
            <w:tcW w:w="1227" w:type="dxa"/>
            <w:noWrap w:val="0"/>
            <w:vAlign w:val="center"/>
          </w:tcPr>
          <w:p w14:paraId="7BDB3AD4">
            <w:pPr>
              <w:widowControl w:val="0"/>
              <w:jc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6FCC028B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2543</w:t>
            </w:r>
          </w:p>
        </w:tc>
      </w:tr>
      <w:tr w14:paraId="56E94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noWrap w:val="0"/>
            <w:vAlign w:val="center"/>
          </w:tcPr>
          <w:p w14:paraId="267AE42F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snapToGrid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snapToGrid w:val="0"/>
                <w:color w:val="auto"/>
                <w:kern w:val="2"/>
                <w:sz w:val="32"/>
                <w:szCs w:val="32"/>
                <w:lang w:val="en-US" w:eastAsia="zh-CN" w:bidi="ar-SA"/>
              </w:rPr>
              <w:t>4</w:t>
            </w:r>
          </w:p>
        </w:tc>
        <w:tc>
          <w:tcPr>
            <w:tcW w:w="1058" w:type="dxa"/>
            <w:noWrap w:val="0"/>
            <w:vAlign w:val="center"/>
          </w:tcPr>
          <w:p w14:paraId="212A3E71">
            <w:pPr>
              <w:jc w:val="center"/>
              <w:textAlignment w:val="center"/>
              <w:rPr>
                <w:rFonts w:ascii="Times New Roman" w:hAnsi="Times New Roman" w:eastAsia="仿宋_GB2312" w:cs="Times New Roman"/>
                <w:snapToGrid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中型轿车</w:t>
            </w:r>
          </w:p>
        </w:tc>
        <w:tc>
          <w:tcPr>
            <w:tcW w:w="828" w:type="dxa"/>
            <w:noWrap w:val="0"/>
            <w:vAlign w:val="center"/>
          </w:tcPr>
          <w:p w14:paraId="79337C7E">
            <w:pPr>
              <w:jc w:val="center"/>
              <w:textAlignment w:val="center"/>
              <w:rPr>
                <w:rFonts w:ascii="Times New Roman" w:hAnsi="Times New Roman" w:eastAsia="仿宋_GB2312" w:cs="Times New Roman"/>
                <w:snapToGrid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≤12</w:t>
            </w:r>
          </w:p>
        </w:tc>
        <w:tc>
          <w:tcPr>
            <w:tcW w:w="1563" w:type="dxa"/>
            <w:noWrap w:val="0"/>
            <w:vAlign w:val="center"/>
          </w:tcPr>
          <w:p w14:paraId="4CFEA2C9">
            <w:pPr>
              <w:jc w:val="center"/>
              <w:textAlignment w:val="center"/>
              <w:rPr>
                <w:rFonts w:ascii="Times New Roman" w:hAnsi="Times New Roman" w:eastAsia="仿宋_GB2312" w:cs="Times New Roman"/>
                <w:snapToGrid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277810B7">
            <w:pPr>
              <w:jc w:val="center"/>
              <w:textAlignment w:val="center"/>
              <w:rPr>
                <w:rFonts w:ascii="Times New Roman" w:hAnsi="Times New Roman" w:eastAsia="仿宋_GB2312" w:cs="Times New Roman"/>
                <w:snapToGrid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888" w:type="dxa"/>
            <w:noWrap w:val="0"/>
            <w:vAlign w:val="center"/>
          </w:tcPr>
          <w:p w14:paraId="7C41E34F">
            <w:pPr>
              <w:jc w:val="center"/>
              <w:textAlignment w:val="center"/>
              <w:rPr>
                <w:rFonts w:ascii="Times New Roman" w:hAnsi="Times New Roman" w:eastAsia="仿宋_GB2312" w:cs="Times New Roman"/>
                <w:snapToGrid w:val="0"/>
                <w:color w:val="auto"/>
                <w:sz w:val="32"/>
                <w:szCs w:val="32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 w:bidi="ar"/>
              </w:rPr>
              <w:t>1</w:t>
            </w:r>
          </w:p>
        </w:tc>
        <w:tc>
          <w:tcPr>
            <w:tcW w:w="1227" w:type="dxa"/>
            <w:noWrap w:val="0"/>
            <w:vAlign w:val="center"/>
          </w:tcPr>
          <w:p w14:paraId="22538D45">
            <w:pPr>
              <w:widowControl w:val="0"/>
              <w:jc w:val="center"/>
              <w:rPr>
                <w:rFonts w:ascii="Times New Roman" w:hAnsi="Times New Roman" w:eastAsia="仿宋_GB2312" w:cs="Times New Roman"/>
                <w:snapToGrid w:val="0"/>
                <w:color w:val="auto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4F0E4EB6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snapToGrid w:val="0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2543</w:t>
            </w:r>
          </w:p>
        </w:tc>
      </w:tr>
      <w:tr w14:paraId="4A736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noWrap w:val="0"/>
            <w:vAlign w:val="center"/>
          </w:tcPr>
          <w:p w14:paraId="1C627449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1058" w:type="dxa"/>
            <w:noWrap w:val="0"/>
            <w:vAlign w:val="center"/>
          </w:tcPr>
          <w:p w14:paraId="207A8D17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中大型</w:t>
            </w:r>
          </w:p>
          <w:p w14:paraId="2E3032B7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小轿车</w:t>
            </w:r>
          </w:p>
        </w:tc>
        <w:tc>
          <w:tcPr>
            <w:tcW w:w="828" w:type="dxa"/>
            <w:noWrap w:val="0"/>
            <w:vAlign w:val="center"/>
          </w:tcPr>
          <w:p w14:paraId="5A046290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≤1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1563" w:type="dxa"/>
            <w:noWrap w:val="0"/>
            <w:vAlign w:val="center"/>
          </w:tcPr>
          <w:p w14:paraId="35B545C7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2D25A90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888" w:type="dxa"/>
            <w:noWrap w:val="0"/>
            <w:vAlign w:val="center"/>
          </w:tcPr>
          <w:p w14:paraId="654DF669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 w:bidi="ar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32"/>
                <w:szCs w:val="32"/>
                <w:lang w:val="en-US" w:eastAsia="zh-CN" w:bidi="ar"/>
              </w:rPr>
              <w:t>2</w:t>
            </w:r>
          </w:p>
        </w:tc>
        <w:tc>
          <w:tcPr>
            <w:tcW w:w="1227" w:type="dxa"/>
            <w:noWrap w:val="0"/>
            <w:vAlign w:val="center"/>
          </w:tcPr>
          <w:p w14:paraId="126B64F9">
            <w:pPr>
              <w:widowControl w:val="0"/>
              <w:jc w:val="both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678372E3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  <w:t>336</w:t>
            </w:r>
          </w:p>
        </w:tc>
      </w:tr>
      <w:tr w14:paraId="5F587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noWrap w:val="0"/>
            <w:vAlign w:val="center"/>
          </w:tcPr>
          <w:p w14:paraId="2A6CA463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1058" w:type="dxa"/>
            <w:noWrap w:val="0"/>
            <w:vAlign w:val="center"/>
          </w:tcPr>
          <w:p w14:paraId="012290EA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皮卡</w:t>
            </w:r>
          </w:p>
        </w:tc>
        <w:tc>
          <w:tcPr>
            <w:tcW w:w="828" w:type="dxa"/>
            <w:noWrap w:val="0"/>
            <w:vAlign w:val="center"/>
          </w:tcPr>
          <w:p w14:paraId="49B0F969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≤13</w:t>
            </w:r>
          </w:p>
        </w:tc>
        <w:tc>
          <w:tcPr>
            <w:tcW w:w="1563" w:type="dxa"/>
            <w:noWrap w:val="0"/>
            <w:vAlign w:val="center"/>
          </w:tcPr>
          <w:p w14:paraId="4977666B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1012" w:type="dxa"/>
            <w:noWrap w:val="0"/>
            <w:vAlign w:val="center"/>
          </w:tcPr>
          <w:p w14:paraId="4F0673CB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</w:p>
        </w:tc>
        <w:tc>
          <w:tcPr>
            <w:tcW w:w="888" w:type="dxa"/>
            <w:noWrap w:val="0"/>
            <w:vAlign w:val="center"/>
          </w:tcPr>
          <w:p w14:paraId="157BE332">
            <w:pPr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 w:bidi="ar"/>
              </w:rPr>
            </w:pPr>
            <w:r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 w:bidi="ar"/>
              </w:rPr>
              <w:t>6</w:t>
            </w:r>
          </w:p>
        </w:tc>
        <w:tc>
          <w:tcPr>
            <w:tcW w:w="1227" w:type="dxa"/>
            <w:noWrap w:val="0"/>
            <w:vAlign w:val="center"/>
          </w:tcPr>
          <w:p w14:paraId="780985F2">
            <w:pPr>
              <w:widowControl w:val="0"/>
              <w:jc w:val="both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lang w:eastAsia="zh-CN"/>
              </w:rPr>
            </w:pPr>
          </w:p>
        </w:tc>
        <w:tc>
          <w:tcPr>
            <w:tcW w:w="1271" w:type="dxa"/>
            <w:noWrap w:val="0"/>
            <w:vAlign w:val="center"/>
          </w:tcPr>
          <w:p w14:paraId="2464CE91">
            <w:pPr>
              <w:widowControl w:val="0"/>
              <w:tabs>
                <w:tab w:val="left" w:pos="0"/>
              </w:tabs>
              <w:spacing w:line="5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lang w:eastAsia="zh-CN"/>
              </w:rPr>
              <w:t>2741</w:t>
            </w:r>
          </w:p>
        </w:tc>
      </w:tr>
    </w:tbl>
    <w:p w14:paraId="5C47B617">
      <w:pPr>
        <w:kinsoku/>
        <w:spacing w:line="600" w:lineRule="exact"/>
        <w:ind w:firstLine="648" w:firstLineChars="200"/>
        <w:jc w:val="both"/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6877050</wp:posOffset>
                </wp:positionH>
                <wp:positionV relativeFrom="paragraph">
                  <wp:posOffset>1654175</wp:posOffset>
                </wp:positionV>
                <wp:extent cx="116840" cy="11176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840" cy="111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C9A58DD">
                            <w:pPr>
                              <w:spacing w:before="20" w:line="188" w:lineRule="auto"/>
                              <w:ind w:left="20"/>
                              <w:rPr>
                                <w:rFonts w:ascii="Times New Roman" w:hAnsi="Times New Roman" w:eastAsia="Times New Roman" w:cs="Times New Roman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pacing w:val="-2"/>
                                <w:sz w:val="15"/>
                                <w:szCs w:val="15"/>
                              </w:rPr>
                              <w:t>30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1.5pt;margin-top:130.25pt;height:8.8pt;width:9.2pt;z-index:251660288;mso-width-relative:page;mso-height-relative:page;" filled="f" stroked="f" coordsize="21600,21600" o:gfxdata="UEsDBAoAAAAAAIdO4kAAAAAAAAAAAAAAAAAEAAAAZHJzL1BLAwQUAAAACACHTuJA78xtEtoAAAAN&#10;AQAADwAAAGRycy9kb3ducmV2LnhtbE2PzU7DMBCE70i8g7VI3KjtAiGEOBVCcEJCTcOBoxO7idV4&#10;HWL3h7dne4LjzI5mvylXJz+yg52jC6hALgQwi10wDnsFn83bTQ4sJo1GjwGtgh8bYVVdXpS6MOGI&#10;tT1sUs+oBGOhFQwpTQXnsRus13ERJot024bZ60Ry7rmZ9ZHK/ciXQmTca4f0YdCTfRlst9vsvYLn&#10;L6xf3fdHu663tWuaR4Hv2U6p6yspnoAle0p/YTjjEzpUxNSGPZrIRtIiv6UxScEyE/fAzhEp5B2w&#10;lqyHXAKvSv5/RfULUEsDBBQAAAAIAIdO4kBvkyPJvAEAAH8DAAAOAAAAZHJzL2Uyb0RvYy54bWyt&#10;U0tu2zAQ3RfoHQjua1pB4QaC5QCBkSJA0BZIewCaIi0C/GFIW/IF2ht01U33PZfP0SElO79NFtlQ&#10;w5nhm3lvRsurwRqylxC1dw2tZnNKpBO+1W7b0B/fbz5cUhITdy033smGHmSkV6v375Z9qOWF77xp&#10;JRAEcbHuQ0O7lELNWBSdtDzOfJAOg8qD5QmvsGUt8B7RrWEX8/mC9R7aAF7IGNG7HoN0QoTXAHql&#10;tJBrL3ZWujSigjQ8IaXY6RDpqnSrlBTpq1JRJmIaikxTObEI2pt8stWS11vgodNiaoG/poVnnCzX&#10;DoueodY8cbID/QLKagE+epVmwls2EimKIItq/kyb+44HWbig1DGcRY9vByu+7L8B0S1uAiWOWxz4&#10;8fev459/x78/SZXl6UOsMes+YF4arv2QUyd/RGdmPSiw+Yt8CMZR3MNZXDkkIvKjanH5ESMCQ1VV&#10;fVoU8dnD4wAxfZbekmw0FHB2RVK+v4sJC2LqKSXXcv5GG1PmZ9wTByaOHlkWYHqdeYz9ZisNm2Ei&#10;sfHtAbmZW4e65h05GXAyNidjF0BvO2yuKMAyEM6ltDbtUB784zvaj/+b1X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vzG0S2gAAAA0BAAAPAAAAAAAAAAEAIAAAACIAAABkcnMvZG93bnJldi54bWxQ&#10;SwECFAAUAAAACACHTuJAb5MjybwBAAB/AwAADgAAAAAAAAABACAAAAAp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C9A58DD">
                      <w:pPr>
                        <w:spacing w:before="20" w:line="188" w:lineRule="auto"/>
                        <w:ind w:left="20"/>
                        <w:rPr>
                          <w:rFonts w:ascii="Times New Roman" w:hAnsi="Times New Roman" w:eastAsia="Times New Roman" w:cs="Times New Roman"/>
                          <w:sz w:val="15"/>
                          <w:szCs w:val="15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pacing w:val="-2"/>
                          <w:sz w:val="15"/>
                          <w:szCs w:val="15"/>
                        </w:rPr>
                        <w:t>30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6883400</wp:posOffset>
            </wp:positionH>
            <wp:positionV relativeFrom="paragraph">
              <wp:posOffset>1752600</wp:posOffset>
            </wp:positionV>
            <wp:extent cx="133350" cy="76200"/>
            <wp:effectExtent l="0" t="0" r="6350" b="0"/>
            <wp:wrapNone/>
            <wp:docPr id="2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1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二、时限要求</w:t>
      </w:r>
    </w:p>
    <w:p w14:paraId="448C5540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本合同服务期限自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single"/>
          <w:lang w:eastAsia="zh-CN"/>
        </w:rPr>
        <w:t>2026年 月 日起至2027年 月 日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止，合同有效期一年。</w:t>
      </w:r>
    </w:p>
    <w:p w14:paraId="12E11274">
      <w:pPr>
        <w:kinsoku/>
        <w:spacing w:line="600" w:lineRule="exact"/>
        <w:ind w:firstLine="648" w:firstLineChars="200"/>
        <w:jc w:val="both"/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  <w:t>2.合同签订后30个日历日内交付车辆，完成车辆挂牌、基础装潢、调试、设备安装等。由车辆使用方与乙方进行交接验收工作。</w:t>
      </w:r>
    </w:p>
    <w:p w14:paraId="6D280184">
      <w:pPr>
        <w:kinsoku/>
        <w:spacing w:line="600" w:lineRule="exact"/>
        <w:ind w:firstLine="648" w:firstLineChars="200"/>
        <w:jc w:val="both"/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  <w:t>3.车辆交付使用后，乙方需对车辆在质保期内的问题承担责任。乙方承担整车质保6年或15万公里，三电系统终身质保。</w:t>
      </w:r>
    </w:p>
    <w:p w14:paraId="5181C886">
      <w:pPr>
        <w:kinsoku/>
        <w:spacing w:line="600" w:lineRule="exact"/>
        <w:ind w:firstLine="648" w:firstLineChars="200"/>
        <w:jc w:val="both"/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三、费用与支付方式</w:t>
      </w:r>
    </w:p>
    <w:p w14:paraId="48482FCC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1.本项目租赁服务费用纳入区级财政预算保障，</w:t>
      </w:r>
      <w:r>
        <w:rPr>
          <w:rFonts w:ascii="Times New Roman" w:hAnsi="Times New Roman" w:eastAsia="仿宋_GB2312" w:cs="Times New Roman"/>
          <w:color w:val="auto"/>
          <w:sz w:val="32"/>
          <w:szCs w:val="32"/>
          <w:u w:val="none"/>
          <w:lang w:eastAsia="zh-CN"/>
        </w:rPr>
        <w:t>项目实施统采分签，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甲方统一将项目金额拨付至车辆使用单位，由车辆使用单位与乙方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分签合同进行费用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结算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</w:t>
      </w:r>
    </w:p>
    <w:p w14:paraId="7B414480">
      <w:pPr>
        <w:kinsoku/>
        <w:spacing w:line="600" w:lineRule="exact"/>
        <w:ind w:firstLine="648" w:firstLineChars="200"/>
        <w:jc w:val="both"/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2.每期结算前，乙方须向车辆使用单位提供合法合规等额增值税正规发票，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使用单位按照区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财政资金拨付流程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进行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支付。</w:t>
      </w:r>
    </w:p>
    <w:p w14:paraId="6504C08A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3.本项目为政府采购项目，若因相关政策或财务程序等影响，导致使用单位不能及时付款，乙方应予以宽容，不构成违约。</w:t>
      </w:r>
    </w:p>
    <w:p w14:paraId="25600C7C">
      <w:pPr>
        <w:kinsoku/>
        <w:spacing w:line="600" w:lineRule="exact"/>
        <w:ind w:firstLine="648" w:firstLineChars="200"/>
        <w:jc w:val="both"/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四、双方权利与义务</w:t>
      </w:r>
    </w:p>
    <w:p w14:paraId="630626F7">
      <w:pPr>
        <w:kinsoku/>
        <w:spacing w:line="600" w:lineRule="exact"/>
        <w:ind w:firstLine="651" w:firstLineChars="200"/>
        <w:jc w:val="both"/>
        <w:rPr>
          <w:rFonts w:ascii="Times New Roman" w:hAnsi="Times New Roman" w:eastAsia="仿宋_GB2312" w:cs="Times New Roman"/>
          <w:b/>
          <w:bCs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auto"/>
          <w:spacing w:val="2"/>
          <w:sz w:val="32"/>
          <w:szCs w:val="32"/>
          <w:lang w:eastAsia="zh-CN"/>
        </w:rPr>
        <w:t>甲方权利义务</w:t>
      </w:r>
    </w:p>
    <w:p w14:paraId="086F8026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1.统筹管理全区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公车“以租代购”工作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，负责审核各单位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车辆租赁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申请、项目经费统筹、合理调配车辆。</w:t>
      </w:r>
    </w:p>
    <w:p w14:paraId="21DC81F0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2.搭建公务用车信息化监管平台，对“以租代购”车辆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开展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实时定位、轨迹监管、台账管理、日常督查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。</w:t>
      </w:r>
    </w:p>
    <w:p w14:paraId="73FD8F54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3.全程监督乙方服务质量、应急响应等履约情况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，协调、监督、指导乙方与使用单位的车辆租赁使用程序，严格按照公务用车管理政策要求，使用管理“以租代购”车辆。</w:t>
      </w:r>
    </w:p>
    <w:p w14:paraId="4158F4DF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4.对乙方服务不达标、履约滞后、保障不力的，有权约谈整改、扣减服务费用，情节严重可解除合同。</w:t>
      </w:r>
    </w:p>
    <w:p w14:paraId="63BF7502">
      <w:pPr>
        <w:kinsoku/>
        <w:spacing w:line="600" w:lineRule="exact"/>
        <w:ind w:firstLine="651" w:firstLineChars="200"/>
        <w:jc w:val="both"/>
        <w:rPr>
          <w:rFonts w:ascii="Times New Roman" w:hAnsi="Times New Roman" w:eastAsia="仿宋_GB2312" w:cs="Times New Roman"/>
          <w:b/>
          <w:bCs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auto"/>
          <w:spacing w:val="2"/>
          <w:sz w:val="32"/>
          <w:szCs w:val="32"/>
          <w:lang w:eastAsia="zh-CN"/>
        </w:rPr>
        <w:t>乙方权利义务</w:t>
      </w:r>
    </w:p>
    <w:p w14:paraId="045DE902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1.提供车辆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为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产权清晰合法、手续齐全、车况良好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的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西安本地牌照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车辆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，全程保险足额有效、无脱保断保。</w:t>
      </w:r>
    </w:p>
    <w:p w14:paraId="1D9BAA81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2.乙方统一投保非营运公务车辆保险，险种包含交强险、车损险、第三者责任险300万、全车驾乘人员意外险、医保外用药险、电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网故障损失险、不计免赔险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</w:t>
      </w:r>
    </w:p>
    <w:p w14:paraId="624C0514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3.车辆出现故障、事故报修后，1小时内响应处置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  <w:t>48小时内排除故障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。车辆维修停用超过5日，须无偿提供同级别备用车辆。</w:t>
      </w:r>
    </w:p>
    <w:p w14:paraId="76FE7F78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4.质保期内车辆电池、核心配件非人为损坏，免费维修更换；车辆续航、电池损耗不达标，按要求及时更换。</w:t>
      </w:r>
    </w:p>
    <w:p w14:paraId="653AE0B0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5.不得私自转租、转让、抵押租赁车辆，不得在车身喷涂商业广告。</w:t>
      </w:r>
    </w:p>
    <w:p w14:paraId="01BB774A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6.在西安市范围内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设置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固定维修服务网点，及时处理车辆维修、保养、救援事宜。</w:t>
      </w:r>
    </w:p>
    <w:p w14:paraId="1CF1202B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7.接受甲方日常管理、检查、考核，按时报送车辆台账、保险单据、保养记录。</w:t>
      </w:r>
    </w:p>
    <w:p w14:paraId="5F5A7F32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8.因车辆自身质量、配件故障、维保不到位产生的事故、损失，由乙方自行承担全部责任。</w:t>
      </w:r>
    </w:p>
    <w:p w14:paraId="3837817F">
      <w:pPr>
        <w:kinsoku/>
        <w:spacing w:line="600" w:lineRule="exact"/>
        <w:ind w:firstLine="648" w:firstLineChars="200"/>
        <w:jc w:val="both"/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五、</w:t>
      </w:r>
      <w:r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  <w:t>合同终止</w:t>
      </w:r>
    </w:p>
    <w:p w14:paraId="15C4CBED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1.区级财政取消租赁专项经费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资金无法保障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时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，本合同自然终止。</w:t>
      </w:r>
    </w:p>
    <w:p w14:paraId="02E4CA7F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.因公务用车政策调整、公车管理工作改革，双方可协商解除。</w:t>
      </w:r>
    </w:p>
    <w:p w14:paraId="7C2D1B2A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.一方严重违约，另一方有权单方解除合同。任何一方无故单方面解除合同，须向对方支付合同总金额20%的违约金。</w:t>
      </w:r>
    </w:p>
    <w:p w14:paraId="7FB591A8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.因自然灾害、政策变动、政府管控等不可抗力导致无法履约，双方互不追究责任，待情形消除后协商继续履行或解除合同。</w:t>
      </w:r>
    </w:p>
    <w:p w14:paraId="7EBB7479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lang w:val="en-US" w:eastAsia="zh-CN"/>
        </w:rPr>
        <w:t>5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.乙方提供车辆不合格、证件不齐、保险过期、服务拖沓、保障不到位，甲方有权扣除相应租金，逾期整改无效可终止合同。</w:t>
      </w:r>
    </w:p>
    <w:p w14:paraId="7B5DBC44">
      <w:pPr>
        <w:kinsoku/>
        <w:spacing w:line="600" w:lineRule="exact"/>
        <w:ind w:firstLine="648" w:firstLineChars="200"/>
        <w:jc w:val="both"/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六</w:t>
      </w:r>
      <w:r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  <w:t>、保密约定</w:t>
      </w:r>
    </w:p>
    <w:p w14:paraId="0404DF24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双方对项目招标资料、合同内容、经费数据、车辆管理信息严格保密，不得随意外泄。</w:t>
      </w:r>
    </w:p>
    <w:p w14:paraId="5432B283">
      <w:pPr>
        <w:kinsoku/>
        <w:spacing w:line="600" w:lineRule="exact"/>
        <w:ind w:firstLine="648" w:firstLineChars="200"/>
        <w:jc w:val="both"/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七</w:t>
      </w:r>
      <w:r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  <w:t>、争议解决</w:t>
      </w:r>
    </w:p>
    <w:p w14:paraId="72E2722F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合同履行期间发生纠纷，双方友好协商解决；协商不成，提交甲方所在地人民法院诉讼处理。</w:t>
      </w:r>
    </w:p>
    <w:p w14:paraId="31734615">
      <w:pPr>
        <w:kinsoku/>
        <w:spacing w:line="600" w:lineRule="exact"/>
        <w:ind w:firstLine="648" w:firstLineChars="200"/>
        <w:jc w:val="both"/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lang w:eastAsia="zh-CN"/>
        </w:rPr>
        <w:t>八</w:t>
      </w:r>
      <w:r>
        <w:rPr>
          <w:rFonts w:ascii="黑体" w:hAnsi="黑体" w:eastAsia="黑体" w:cs="黑体"/>
          <w:color w:val="auto"/>
          <w:spacing w:val="2"/>
          <w:sz w:val="32"/>
          <w:szCs w:val="32"/>
          <w:lang w:eastAsia="zh-CN"/>
        </w:rPr>
        <w:t>、其他</w:t>
      </w:r>
    </w:p>
    <w:p w14:paraId="27F281F6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1.本合同未尽事宜，双方可签订补充协议，补充协议与本合同具有同等法律效力。</w:t>
      </w:r>
    </w:p>
    <w:p w14:paraId="6B964250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2.本合同一式肆份，甲乙双方各执贰份，签字盖章后生效。</w:t>
      </w:r>
    </w:p>
    <w:p w14:paraId="29FDFC7C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</w:p>
    <w:p w14:paraId="6DC6F6E5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</w:p>
    <w:p w14:paraId="7350C1E1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甲方（盖章）：西安市临潼区机关事务服务中心</w:t>
      </w:r>
    </w:p>
    <w:p w14:paraId="0C9B526B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负责人签字：</w:t>
      </w:r>
    </w:p>
    <w:p w14:paraId="78702043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日期：</w:t>
      </w:r>
    </w:p>
    <w:p w14:paraId="08797380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乙方（盖章）：</w:t>
      </w:r>
    </w:p>
    <w:p w14:paraId="4007B14F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负责人签字：</w:t>
      </w:r>
    </w:p>
    <w:p w14:paraId="5248C445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日期：</w:t>
      </w:r>
    </w:p>
    <w:p w14:paraId="03A24F43">
      <w:pPr>
        <w:rPr>
          <w:rFonts w:hint="default"/>
          <w:color w:val="auto"/>
        </w:rPr>
      </w:pPr>
      <w:r>
        <w:rPr>
          <w:rFonts w:hint="default"/>
          <w:color w:val="auto"/>
        </w:rPr>
        <w:br w:type="page"/>
      </w:r>
    </w:p>
    <w:p w14:paraId="71005C7B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pacing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2"/>
          <w:sz w:val="44"/>
          <w:szCs w:val="44"/>
          <w:lang w:eastAsia="zh-CN"/>
        </w:rPr>
        <w:t>合同书</w:t>
      </w:r>
    </w:p>
    <w:p w14:paraId="702DE94B">
      <w:pPr>
        <w:spacing w:line="600" w:lineRule="exact"/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  <w:lang w:eastAsia="zh-CN"/>
        </w:rPr>
      </w:pPr>
    </w:p>
    <w:p w14:paraId="7CF2F5A1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 xml:space="preserve">甲方（车辆使用单位）：                      </w:t>
      </w:r>
    </w:p>
    <w:p w14:paraId="12F91D3C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乙方（服务供应方）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single"/>
          <w:lang w:eastAsia="zh-CN"/>
        </w:rPr>
        <w:t xml:space="preserve">：                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有限公司</w:t>
      </w:r>
    </w:p>
    <w:p w14:paraId="064DEAB1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鉴于西安市临潼区机关事务服务中心已通过公开采购，确定乙方为2026年度公务用车更新租赁项目中标服务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供应方。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为明确甲乙双方车辆使用、服务保障、安全管理、责任划分等事项，经友好协商，签订分签使用合同。</w:t>
      </w:r>
    </w:p>
    <w:p w14:paraId="033FAF6A">
      <w:pPr>
        <w:spacing w:line="600" w:lineRule="exact"/>
        <w:ind w:firstLine="648" w:firstLineChars="200"/>
        <w:rPr>
          <w:rFonts w:hint="eastAsia"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hint="eastAsia"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一、服务依据</w:t>
      </w:r>
    </w:p>
    <w:p w14:paraId="1BD9DB9B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本合同依托《西安市临潼区2026年度公务用车更新租赁项目》公开采购结果执行。全区公务用车“以租代购”单位需严格按照区级工作部署及相关管理规定执行，各单位更新配备租赁车辆均须履行单位申报、主管部门审核、报请区政府审批程序。经逐级审核、指标核准通过后，纳入全区统一指标管控，方可使用乙方提供的租赁车辆。</w:t>
      </w:r>
    </w:p>
    <w:p w14:paraId="1A115577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二、服务内容</w:t>
      </w:r>
    </w:p>
    <w:p w14:paraId="02C0433E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乙方向甲方提供公务出行新能源汽车租赁使用服务，服务包含新能源公务车辆租赁全配套服务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。服务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包含车辆使用权、车辆保险、原厂常规保养、保险范围内维修、车辆年审、7kW充电桩设备及安装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（含30米线）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、公务用车标识喷涂、车辆首次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基础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装潢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（贴膜、脚垫、拖把等）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、ETC设备安装、车辆上牌、相关税费、公车信息化定位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设备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安装等全部服务。</w:t>
      </w:r>
    </w:p>
    <w:p w14:paraId="5E57CDFB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三、合同期限</w:t>
      </w:r>
    </w:p>
    <w:p w14:paraId="23499258">
      <w:pPr>
        <w:spacing w:line="600" w:lineRule="exact"/>
        <w:ind w:firstLine="648" w:firstLineChars="200"/>
        <w:rPr>
          <w:rFonts w:hint="default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自本合同签订之日起一年，即2026年 月 日至2027年 月 日，使用周期与总采购合同保持一致。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车辆交付需</w:t>
      </w:r>
      <w:r>
        <w:rPr>
          <w:rFonts w:hint="default" w:ascii="Arial" w:hAnsi="Arial" w:eastAsia="仿宋_GB2312" w:cs="Arial"/>
          <w:color w:val="auto"/>
          <w:spacing w:val="2"/>
          <w:sz w:val="32"/>
          <w:szCs w:val="32"/>
          <w:u w:val="none"/>
          <w:lang w:eastAsia="zh-CN"/>
        </w:rPr>
        <w:t>≤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  <w:t>500公里以内。</w:t>
      </w:r>
    </w:p>
    <w:p w14:paraId="677CED86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四、租赁及费用说明</w:t>
      </w:r>
    </w:p>
    <w:p w14:paraId="20B01022">
      <w:pPr>
        <w:spacing w:line="600" w:lineRule="exact"/>
        <w:ind w:firstLine="651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auto"/>
          <w:spacing w:val="2"/>
          <w:sz w:val="32"/>
          <w:szCs w:val="32"/>
          <w:u w:val="none"/>
          <w:lang w:eastAsia="zh-CN"/>
        </w:rPr>
        <w:t>1.租赁方式</w:t>
      </w:r>
      <w:r>
        <w:rPr>
          <w:rFonts w:hint="eastAsia" w:ascii="Times New Roman" w:hAnsi="Times New Roman" w:eastAsia="仿宋_GB2312" w:cs="Times New Roman"/>
          <w:b/>
          <w:bCs/>
          <w:color w:val="auto"/>
          <w:spacing w:val="2"/>
          <w:sz w:val="32"/>
          <w:szCs w:val="32"/>
          <w:u w:val="none"/>
          <w:lang w:eastAsia="zh-CN"/>
        </w:rPr>
        <w:t>：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财政预算保障范围内，实行年度租赁模式。</w:t>
      </w:r>
    </w:p>
    <w:p w14:paraId="5A681AA6">
      <w:pPr>
        <w:spacing w:line="600" w:lineRule="exact"/>
        <w:ind w:firstLine="651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auto"/>
          <w:spacing w:val="2"/>
          <w:sz w:val="32"/>
          <w:szCs w:val="32"/>
          <w:u w:val="none"/>
          <w:lang w:eastAsia="zh-CN"/>
        </w:rPr>
        <w:t>2.费用包含：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车辆基础租赁、保险、保养、年检、充电桩配备、首次装潢、标识喷涂、挂牌、ETC设备安装、人员管理等费用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及服务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。甲方如需额外增加以上不涉及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的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服务内容，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可与乙方自行协商，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费用由甲方额外承担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</w:t>
      </w:r>
    </w:p>
    <w:p w14:paraId="6103875D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3.甲方用车期间产生的日常使用运行费用，如车辆电费、高速通行费、停车费、交通违章罚款、人为损坏维修费、交通事故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，均由甲方自行承担，或协调第三方责任人承担。</w:t>
      </w:r>
    </w:p>
    <w:p w14:paraId="2EF77A41">
      <w:pPr>
        <w:spacing w:line="600" w:lineRule="exact"/>
        <w:ind w:firstLine="648" w:firstLineChars="200"/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4.合同履行期间，双方不得私自增减车辆、更改车型。</w:t>
      </w:r>
    </w:p>
    <w:p w14:paraId="7A0440C5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5.本项目为政府采购项目，若因相关政策或财务程序等影响，导致甲方不能及时付款，乙方应予以宽容，不构成违约。</w:t>
      </w:r>
    </w:p>
    <w:p w14:paraId="103B2B33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五、租赁车辆明细</w:t>
      </w:r>
    </w:p>
    <w:p w14:paraId="1198AF24">
      <w:pPr>
        <w:spacing w:line="600" w:lineRule="exact"/>
        <w:ind w:firstLine="1944" w:firstLineChars="6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租赁车辆规格和使用服务费价格</w:t>
      </w:r>
    </w:p>
    <w:tbl>
      <w:tblPr>
        <w:tblStyle w:val="2"/>
        <w:tblpPr w:leftFromText="180" w:rightFromText="180" w:vertAnchor="text" w:horzAnchor="page" w:tblpX="1771" w:tblpY="66"/>
        <w:tblOverlap w:val="never"/>
        <w:tblW w:w="87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21"/>
        <w:gridCol w:w="1065"/>
        <w:gridCol w:w="2040"/>
        <w:gridCol w:w="917"/>
        <w:gridCol w:w="670"/>
        <w:gridCol w:w="699"/>
        <w:gridCol w:w="2068"/>
      </w:tblGrid>
      <w:tr w14:paraId="08E0D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508" w:type="dxa"/>
            <w:noWrap w:val="0"/>
            <w:vAlign w:val="center"/>
          </w:tcPr>
          <w:p w14:paraId="5142DB33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序号</w:t>
            </w:r>
          </w:p>
        </w:tc>
        <w:tc>
          <w:tcPr>
            <w:tcW w:w="821" w:type="dxa"/>
            <w:noWrap w:val="0"/>
            <w:vAlign w:val="center"/>
          </w:tcPr>
          <w:p w14:paraId="6B28EB4F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车型</w:t>
            </w:r>
          </w:p>
        </w:tc>
        <w:tc>
          <w:tcPr>
            <w:tcW w:w="1065" w:type="dxa"/>
            <w:noWrap w:val="0"/>
            <w:vAlign w:val="center"/>
          </w:tcPr>
          <w:p w14:paraId="54A656C1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动力类型</w:t>
            </w:r>
          </w:p>
        </w:tc>
        <w:tc>
          <w:tcPr>
            <w:tcW w:w="2040" w:type="dxa"/>
            <w:noWrap w:val="0"/>
            <w:vAlign w:val="center"/>
          </w:tcPr>
          <w:p w14:paraId="7BB60345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规格型号</w:t>
            </w:r>
          </w:p>
          <w:p w14:paraId="35884FF7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（长×宽×高）</w:t>
            </w:r>
          </w:p>
        </w:tc>
        <w:tc>
          <w:tcPr>
            <w:tcW w:w="917" w:type="dxa"/>
            <w:noWrap w:val="0"/>
            <w:vAlign w:val="center"/>
          </w:tcPr>
          <w:p w14:paraId="3F064538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续航里程</w:t>
            </w:r>
          </w:p>
        </w:tc>
        <w:tc>
          <w:tcPr>
            <w:tcW w:w="670" w:type="dxa"/>
            <w:noWrap w:val="0"/>
            <w:vAlign w:val="center"/>
          </w:tcPr>
          <w:p w14:paraId="79BC5D7A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数量</w:t>
            </w:r>
          </w:p>
        </w:tc>
        <w:tc>
          <w:tcPr>
            <w:tcW w:w="699" w:type="dxa"/>
            <w:noWrap w:val="0"/>
            <w:vAlign w:val="center"/>
          </w:tcPr>
          <w:p w14:paraId="14F39500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颜色</w:t>
            </w:r>
          </w:p>
        </w:tc>
        <w:tc>
          <w:tcPr>
            <w:tcW w:w="2068" w:type="dxa"/>
            <w:noWrap w:val="0"/>
            <w:vAlign w:val="center"/>
          </w:tcPr>
          <w:p w14:paraId="7F540887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使用服务费/月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（折扣价）</w:t>
            </w:r>
          </w:p>
        </w:tc>
      </w:tr>
      <w:tr w14:paraId="05712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noWrap w:val="0"/>
            <w:vAlign w:val="center"/>
          </w:tcPr>
          <w:p w14:paraId="2867D212">
            <w:pPr>
              <w:widowControl w:val="0"/>
              <w:tabs>
                <w:tab w:val="left" w:pos="0"/>
              </w:tabs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1</w:t>
            </w:r>
          </w:p>
        </w:tc>
        <w:tc>
          <w:tcPr>
            <w:tcW w:w="821" w:type="dxa"/>
            <w:noWrap w:val="0"/>
            <w:vAlign w:val="center"/>
          </w:tcPr>
          <w:p w14:paraId="6DF1A744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0CE8D22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  <w:t>新能源纯电</w:t>
            </w:r>
          </w:p>
        </w:tc>
        <w:tc>
          <w:tcPr>
            <w:tcW w:w="2040" w:type="dxa"/>
            <w:noWrap w:val="0"/>
            <w:vAlign w:val="center"/>
          </w:tcPr>
          <w:p w14:paraId="29391BE7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</w:p>
        </w:tc>
        <w:tc>
          <w:tcPr>
            <w:tcW w:w="917" w:type="dxa"/>
            <w:noWrap w:val="0"/>
            <w:vAlign w:val="center"/>
          </w:tcPr>
          <w:p w14:paraId="1EF08CCA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</w:p>
        </w:tc>
        <w:tc>
          <w:tcPr>
            <w:tcW w:w="670" w:type="dxa"/>
            <w:noWrap w:val="0"/>
            <w:vAlign w:val="center"/>
          </w:tcPr>
          <w:p w14:paraId="26908342">
            <w:pPr>
              <w:spacing w:line="600" w:lineRule="exact"/>
              <w:jc w:val="center"/>
              <w:textAlignment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u w:val="none"/>
                <w:lang w:eastAsia="zh-CN" w:bidi="ar"/>
              </w:rPr>
            </w:pPr>
          </w:p>
        </w:tc>
        <w:tc>
          <w:tcPr>
            <w:tcW w:w="699" w:type="dxa"/>
            <w:noWrap w:val="0"/>
            <w:vAlign w:val="center"/>
          </w:tcPr>
          <w:p w14:paraId="4A9A1952">
            <w:pPr>
              <w:widowControl w:val="0"/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auto"/>
                <w:sz w:val="32"/>
                <w:szCs w:val="32"/>
                <w:u w:val="none"/>
                <w:lang w:eastAsia="zh-CN"/>
              </w:rPr>
            </w:pPr>
          </w:p>
        </w:tc>
        <w:tc>
          <w:tcPr>
            <w:tcW w:w="2068" w:type="dxa"/>
            <w:noWrap w:val="0"/>
            <w:vAlign w:val="center"/>
          </w:tcPr>
          <w:p w14:paraId="3FA15D4C">
            <w:pPr>
              <w:widowControl w:val="0"/>
              <w:tabs>
                <w:tab w:val="left" w:pos="0"/>
              </w:tabs>
              <w:spacing w:line="60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32"/>
                <w:szCs w:val="32"/>
                <w:u w:val="none"/>
                <w:lang w:eastAsia="zh-CN"/>
              </w:rPr>
            </w:pPr>
          </w:p>
        </w:tc>
      </w:tr>
    </w:tbl>
    <w:p w14:paraId="1A6EE482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</w:rPr>
        <w:t>六、甲方权利与义务</w:t>
      </w:r>
    </w:p>
    <w:p w14:paraId="5BA2D00F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1.有权要求乙方提供车况完好、手续齐全、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户证一致、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保险有效的合规车辆，车辆不符合标准可拒绝接收。</w:t>
      </w:r>
    </w:p>
    <w:p w14:paraId="35DDB029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2.合理合规调度使用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“以租代购”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车辆，仅限公务使用，不得公车私用、转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租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外借、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不得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私自改装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与公务无关的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车辆外观及内饰。</w:t>
      </w:r>
    </w:p>
    <w:p w14:paraId="77756EC9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3.负责本单位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驾驶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人员管理、安全教育、行车安全管控，对用车期间驾乘人员人身及财产安全负责。</w:t>
      </w:r>
    </w:p>
    <w:p w14:paraId="42FBA665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4.日常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负责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检查车辆车况，发现问题及时告知乙方维修保养，配合乙方完成车辆年检、维保工作。</w:t>
      </w:r>
    </w:p>
    <w:p w14:paraId="7FC20B9E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5.车辆发生事故、故障、盗抢、违章，第一时间报警、报备乙方及机关事务管理部门，积极配合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乙方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处理。</w:t>
      </w:r>
    </w:p>
    <w:p w14:paraId="11150B20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6.妥善保管车辆及随车证件、设备、附件，保持车辆原状。</w:t>
      </w:r>
    </w:p>
    <w:p w14:paraId="610A70E3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7.合同到期或终止后，三个工作日内完好归还车辆及全部证件配件，结清所有用车产生费用、处理完毕交通违章。</w:t>
      </w:r>
    </w:p>
    <w:p w14:paraId="40C20CD9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8.车辆在使用中产生日常易损配件更换费用，由甲方自行承担。</w:t>
      </w:r>
    </w:p>
    <w:p w14:paraId="2A18233E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七、乙方权利与义务</w:t>
      </w:r>
    </w:p>
    <w:p w14:paraId="1D8D5ECF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1.保证车辆权属一致，产权清晰合法，租赁期间不得随意处置、抵押车辆。</w:t>
      </w:r>
    </w:p>
    <w:p w14:paraId="2AE7AF96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2.持续提供合格稳定的车辆保障，车辆出现质量问题及时检修更换。</w:t>
      </w:r>
    </w:p>
    <w:p w14:paraId="7B82D48C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3.按合同足额购买各类保险，保障保险全程连续有效。</w:t>
      </w:r>
    </w:p>
    <w:p w14:paraId="6C48CB6C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4.车辆出现故障、事故报修后，1小时内响应处置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  <w:t>48小时内排除故障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。车辆维修停用超过5日，须无偿提供同级别备用车辆。</w:t>
      </w:r>
    </w:p>
    <w:p w14:paraId="42AAB51B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5.质保期内车辆电池质量不达标、公里数损耗异常，负责协调更换。</w:t>
      </w:r>
    </w:p>
    <w:p w14:paraId="7E43F720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6.车载定位设备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、车辆标识喷涂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按照公务用车管理政策要求执行，配合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纳入公车信息化平台管理。</w:t>
      </w:r>
    </w:p>
    <w:p w14:paraId="785F2380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7.负责车辆非人为质量问题的维修、理赔、售后等全部工作。</w:t>
      </w:r>
    </w:p>
    <w:p w14:paraId="7C76138B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八、保险约定</w:t>
      </w:r>
    </w:p>
    <w:p w14:paraId="36AE22FE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乙方统一投保非营运公务车辆保险，险种包含交强险、车损险、第三者责任险300万、全车驾乘人员意外险、医保外用药险、电网故障损失险、不计免赔险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等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。甲方如需额外加保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、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车辆出险后产生的保险上浮费用，由甲方承担。</w:t>
      </w:r>
    </w:p>
    <w:p w14:paraId="2AA0E053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九、责任划分</w:t>
      </w:r>
    </w:p>
    <w:p w14:paraId="64384DF8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1.因车辆本身质量、配件故障、保险脱保、乙方维保不当引发事故损失，由乙方承担全部责任。</w:t>
      </w:r>
    </w:p>
    <w:p w14:paraId="34D9BC46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2.因甲方违规驾驶、酒后驾驶、超速、私用、操作不当、保管不善造成车辆损坏、人员损伤、经济赔偿，全部责任及费用由甲方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或责任方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承担。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如遇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非保险赔付范围内的事故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责任时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双方需确认车辆质保期等相关问题后进行维修，乙方联系的指定维修点维修质量需符合行业标准，价格公开透明、不高于市场同期合理价格。</w:t>
      </w:r>
    </w:p>
    <w:p w14:paraId="19DE3642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3.第三方造成的交通事故损失，由甲方负责对接追偿理赔。</w:t>
      </w:r>
    </w:p>
    <w:p w14:paraId="209A7EBF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4.工作人员违规违法驾驶导致事故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、违章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，一切后果由个人及所在单位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协商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承担。</w:t>
      </w:r>
    </w:p>
    <w:p w14:paraId="21A4636A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十、违约责任</w:t>
      </w:r>
    </w:p>
    <w:p w14:paraId="6787BD5F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1.甲方逾期不处理违章、不按期归还车辆，乙方有权收取车辆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相关费用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，直至车辆归还。</w:t>
      </w:r>
    </w:p>
    <w:p w14:paraId="135AF959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2.乙方提供车辆不合格、服务滞后、保险逾期，甲方有权报请采购方扣除相应服务费用。</w:t>
      </w:r>
    </w:p>
    <w:p w14:paraId="6892811C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3.任意一方擅自解除本合同，需向对方支付合同金额20%违约金。</w:t>
      </w:r>
    </w:p>
    <w:p w14:paraId="7ABB43FD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4.甲方拖欠违章费用、人为恶意损坏车辆，乙方可报请公务用车管理部门收回车辆。</w:t>
      </w:r>
    </w:p>
    <w:p w14:paraId="273764C0">
      <w:pPr>
        <w:spacing w:line="600" w:lineRule="exact"/>
        <w:ind w:firstLine="648" w:firstLineChars="200"/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黑体" w:hAnsi="黑体" w:eastAsia="黑体" w:cs="黑体"/>
          <w:color w:val="auto"/>
          <w:spacing w:val="2"/>
          <w:sz w:val="32"/>
          <w:szCs w:val="32"/>
          <w:u w:val="none"/>
          <w:lang w:eastAsia="zh-CN"/>
        </w:rPr>
        <w:t>十一、其他约定</w:t>
      </w:r>
    </w:p>
    <w:p w14:paraId="4FA8409D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1.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当租赁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车辆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出现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  <w:t>1月以上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无法服务的情况时，甲乙双方协商后，可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停收对应期间租赁费用。</w:t>
      </w:r>
    </w:p>
    <w:p w14:paraId="233A8589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2.车辆年检由甲方配合办理，逾期未年检造成损失由甲方负责。</w:t>
      </w:r>
    </w:p>
    <w:p w14:paraId="583C3F65">
      <w:pPr>
        <w:spacing w:line="600" w:lineRule="exact"/>
        <w:ind w:firstLine="648" w:firstLineChars="200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3.合同未尽事宜，报请车辆管理部门后，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自行补充相关内容或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协商解决。</w:t>
      </w:r>
    </w:p>
    <w:p w14:paraId="27292179">
      <w:pPr>
        <w:kinsoku/>
        <w:spacing w:line="600" w:lineRule="exact"/>
        <w:ind w:firstLine="648" w:firstLineChars="200"/>
        <w:jc w:val="both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.</w:t>
      </w: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本合同一式肆份，甲乙双方各执贰份，签字盖章后生效。</w:t>
      </w:r>
    </w:p>
    <w:p w14:paraId="04D248EE">
      <w:pPr>
        <w:spacing w:line="600" w:lineRule="exact"/>
        <w:ind w:firstLine="648" w:firstLineChars="200"/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  <w:t>5.本合同附主合同、中标通知书复印件至使用单位。</w:t>
      </w:r>
    </w:p>
    <w:p w14:paraId="37DDBD92">
      <w:pPr>
        <w:spacing w:line="600" w:lineRule="exact"/>
        <w:ind w:firstLine="648" w:firstLineChars="200"/>
        <w:rPr>
          <w:rFonts w:hint="default"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val="en-US" w:eastAsia="zh-CN"/>
        </w:rPr>
      </w:pPr>
    </w:p>
    <w:p w14:paraId="768F0519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u w:val="none"/>
          <w:lang w:eastAsia="zh-CN"/>
        </w:rPr>
        <w:t>甲方（盖章）：</w:t>
      </w:r>
    </w:p>
    <w:p w14:paraId="54ADF207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负责人签字：</w:t>
      </w:r>
    </w:p>
    <w:p w14:paraId="43A84193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日期：</w:t>
      </w:r>
    </w:p>
    <w:p w14:paraId="7DF56488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乙方（盖章）：</w:t>
      </w:r>
    </w:p>
    <w:p w14:paraId="26D0050C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  <w:lang w:eastAsia="zh-CN"/>
        </w:rPr>
        <w:t>负责人签字：</w:t>
      </w:r>
    </w:p>
    <w:p w14:paraId="3AF70C3C">
      <w:pPr>
        <w:spacing w:line="600" w:lineRule="exact"/>
        <w:rPr>
          <w:rFonts w:ascii="Times New Roman" w:hAnsi="Times New Roman" w:eastAsia="仿宋_GB2312" w:cs="Times New Roman"/>
          <w:color w:val="auto"/>
          <w:spacing w:val="2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pacing w:val="2"/>
          <w:sz w:val="32"/>
          <w:szCs w:val="32"/>
        </w:rPr>
        <w:t>日期：</w:t>
      </w:r>
    </w:p>
    <w:p w14:paraId="2A5FDA67">
      <w:pPr>
        <w:spacing w:line="60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 w14:paraId="6A109818">
      <w:pPr>
        <w:spacing w:line="600" w:lineRule="exact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 w14:paraId="7A350544">
      <w:pPr>
        <w:pStyle w:val="4"/>
        <w:spacing w:line="360" w:lineRule="auto"/>
        <w:rPr>
          <w:rFonts w:hint="default"/>
          <w:color w:val="auto"/>
        </w:rPr>
      </w:pPr>
    </w:p>
    <w:p w14:paraId="37F492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64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2026-07-23T11:46:00Z</dcterms:created>
  <dc:creator>liang</dc:creator>
  <cp:lastModifiedBy>走路去纽约</cp:lastModifiedBy>
  <dcterms:modified xsi:type="dcterms:W3CDTF">2026-07-23T11:46:48Z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eyJoZGlkIjoiMGMzODQ1NjFiYzY3MGI5ZDdlNzAwMDYxMzI1NDVmZGIiLCJ1c2VySWQiOiIzODc3MzMxMTEifQ==</vt:lpwstr>
  </property>
  <property fmtid="{D5CDD505-2E9C-101B-9397-08002B2CF9AE}" pid="4" name="ICV">
    <vt:lpwstr>28FA8D59C9E64443B1368BBD52B77FF2_12</vt:lpwstr>
  </property>
</Properties>
</file>