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版本号：FHGJ-2026-022020260515001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办公设备维修及耗材供应项目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FHGJ-2026-0220</w:t>
      </w:r>
      <w:r>
        <w:br/>
      </w:r>
      <w:r>
        <w:br/>
      </w:r>
      <w:r>
        <w:br/>
      </w:r>
    </w:p>
    <w:p>
      <w:pPr>
        <w:pStyle w:val="null3"/>
        <w:jc w:val="center"/>
        <w:outlineLvl w:val="2"/>
      </w:pPr>
      <w:r>
        <w:rPr>
          <w:rFonts w:ascii="仿宋_GB2312" w:hAnsi="仿宋_GB2312" w:cs="仿宋_GB2312" w:eastAsia="仿宋_GB2312"/>
          <w:sz w:val="28"/>
          <w:b/>
        </w:rPr>
        <w:t>西安市雁塔区行政审批服务局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西安市雁塔区行政审批服务局</w:t>
      </w:r>
      <w:r>
        <w:rPr>
          <w:rFonts w:ascii="仿宋_GB2312" w:hAnsi="仿宋_GB2312" w:cs="仿宋_GB2312" w:eastAsia="仿宋_GB2312"/>
        </w:rPr>
        <w:t>委托，拟对</w:t>
      </w:r>
      <w:r>
        <w:rPr>
          <w:rFonts w:ascii="仿宋_GB2312" w:hAnsi="仿宋_GB2312" w:cs="仿宋_GB2312" w:eastAsia="仿宋_GB2312"/>
        </w:rPr>
        <w:t>办公设备维修及耗材供应项目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FHGJ-2026-0220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办公设备维修及耗材供应项目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打印耗材是政务服务中心日常信息化使用的必要基础耗材，主要包括硒鼓、墨盒等日常信息化基础设施维护使用。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采购包1（办公设备维修及耗材供应项目）：属于专门面向中小企业采购。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1、供应商特定资格条件：（1）法定代表人直接参加磋商的，须出具法定代表人身份证明，法定代表人授权代表参加磋商的，须出具法定代表人授权书； （2）未被“中国执行信息公开网”网站（http://zxgk.court.gov.cn/）列入失信被执行人名单，未被“信用中国”网站（www.creditchina.gov.cn）列入重大税收违法失信主体名单，未被“中国政府采购网”（www.ccgp.gov.cn）列入政府采购严重违法失信行为记录名单被财政部门禁止参加政府采购活动（处罚决定规定的时间和地域范围内）； （3）不接受联合体磋商。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西安市雁塔区电子正街南段与双桥一巷十字西南角政务中心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029-81160013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西安市碑林区长安北路大话南门壹中心14楼1401室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029-68976696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代理服务费收费标准：1、招标代理服务费按照6000元收取。由成交人在领取成交通知书前一次性支付给采购标代理机构。 2、招标代理服务费缴纳信息： 户名：丰汇国际项目管理有限公司 账号：611301033010141013028 开户银行：交通银行西安城南支行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西安市雁塔区行政审批服务局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联系人：乔工</w:t>
      </w:r>
    </w:p>
    <w:p>
      <w:pPr>
        <w:pStyle w:val="null3"/>
      </w:pPr>
      <w:r>
        <w:rPr>
          <w:rFonts w:ascii="仿宋_GB2312" w:hAnsi="仿宋_GB2312" w:cs="仿宋_GB2312" w:eastAsia="仿宋_GB2312"/>
        </w:rPr>
        <w:t>联系电话：029-68976696</w:t>
      </w:r>
    </w:p>
    <w:p>
      <w:pPr>
        <w:pStyle w:val="null3"/>
      </w:pPr>
      <w:r>
        <w:rPr>
          <w:rFonts w:ascii="仿宋_GB2312" w:hAnsi="仿宋_GB2312" w:cs="仿宋_GB2312" w:eastAsia="仿宋_GB2312"/>
        </w:rPr>
        <w:t>地址：西安市碑林区长安北路大话南门壹中心14楼1401室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打印耗材是政务服务中心日常信息化使用的必要基础耗材，主要包括硒鼓、墨盒等日常信息化基础设施维护使用。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办公设备维修及耗材供应</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标的名称：办公设备维修及耗材供应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一、耗材供应</w:t>
            </w:r>
          </w:p>
          <w:tbl>
            <w:tblPr>
              <w:tblBorders>
                <w:top w:val="none" w:color="000000" w:sz="4"/>
                <w:left w:val="none" w:color="000000" w:sz="4"/>
                <w:bottom w:val="none" w:color="000000" w:sz="4"/>
                <w:right w:val="none" w:color="000000" w:sz="4"/>
                <w:insideH w:val="none"/>
                <w:insideV w:val="none"/>
              </w:tblBorders>
            </w:tblPr>
            <w:tblGrid>
              <w:gridCol w:w="329"/>
              <w:gridCol w:w="839"/>
              <w:gridCol w:w="335"/>
              <w:gridCol w:w="281"/>
              <w:gridCol w:w="755"/>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品名</w:t>
                  </w:r>
                </w:p>
              </w:tc>
              <w:tc>
                <w:tcPr>
                  <w:tcW w:type="dxa" w:w="33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A4打印纸</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4051</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7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数量为初步预计，结款时据实核算。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2655墨粉</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2655硒鼓</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5590粉盒</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335</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兄弟</w:t>
                  </w:r>
                  <w:r>
                    <w:rPr>
                      <w:rFonts w:ascii="仿宋_GB2312" w:hAnsi="仿宋_GB2312" w:cs="仿宋_GB2312" w:eastAsia="仿宋_GB2312"/>
                      <w:sz w:val="20"/>
                    </w:rPr>
                    <w:t>5590硒鼓</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203d粉盒</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M203d硒鼓</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惠普</w:t>
                  </w:r>
                  <w:r>
                    <w:rPr>
                      <w:rFonts w:ascii="仿宋_GB2312" w:hAnsi="仿宋_GB2312" w:cs="仿宋_GB2312" w:eastAsia="仿宋_GB2312"/>
                      <w:sz w:val="20"/>
                    </w:rPr>
                    <w:t>M154a</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施乐</w:t>
                  </w:r>
                  <w:r>
                    <w:rPr>
                      <w:rFonts w:ascii="仿宋_GB2312" w:hAnsi="仿宋_GB2312" w:cs="仿宋_GB2312" w:eastAsia="仿宋_GB2312"/>
                      <w:sz w:val="20"/>
                    </w:rPr>
                    <w:t>2108鼓粉组件（一体）</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施乐</w:t>
                  </w:r>
                  <w:r>
                    <w:rPr>
                      <w:rFonts w:ascii="仿宋_GB2312" w:hAnsi="仿宋_GB2312" w:cs="仿宋_GB2312" w:eastAsia="仿宋_GB2312"/>
                      <w:sz w:val="20"/>
                    </w:rPr>
                    <w:t>2520墨粉筒</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DPK910</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5860色带</w:t>
                  </w:r>
                </w:p>
              </w:tc>
              <w:tc>
                <w:tcPr>
                  <w:tcW w:type="dxa" w:w="33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755"/>
                  <w:vMerge/>
                  <w:tcBorders>
                    <w:top w:val="none" w:color="000000" w:sz="4"/>
                    <w:left w:val="none" w:color="000000" w:sz="4"/>
                    <w:bottom w:val="single" w:color="000000" w:sz="4"/>
                    <w:right w:val="single" w:color="000000" w:sz="4"/>
                  </w:tcBorders>
                </w:tcPr>
                <w:p/>
              </w:tc>
            </w:tr>
          </w:tbl>
          <w:p>
            <w:pPr>
              <w:pStyle w:val="null3"/>
              <w:jc w:val="both"/>
            </w:pPr>
            <w:r>
              <w:rPr>
                <w:rFonts w:ascii="仿宋_GB2312" w:hAnsi="仿宋_GB2312" w:cs="仿宋_GB2312" w:eastAsia="仿宋_GB2312"/>
                <w:sz w:val="20"/>
                <w:b/>
              </w:rPr>
              <w:t>二、设备维修</w:t>
            </w:r>
          </w:p>
          <w:p>
            <w:pPr>
              <w:pStyle w:val="null3"/>
              <w:jc w:val="left"/>
            </w:pPr>
            <w:r>
              <w:rPr>
                <w:rFonts w:ascii="仿宋_GB2312" w:hAnsi="仿宋_GB2312" w:cs="仿宋_GB2312" w:eastAsia="仿宋_GB2312"/>
                <w:sz w:val="20"/>
              </w:rPr>
              <w:t>全年各种办公设备维修预计费用</w:t>
            </w:r>
            <w:r>
              <w:rPr>
                <w:rFonts w:ascii="仿宋_GB2312" w:hAnsi="仿宋_GB2312" w:cs="仿宋_GB2312" w:eastAsia="仿宋_GB2312"/>
                <w:sz w:val="20"/>
              </w:rPr>
              <w:t>5万元。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本采购项目质保期为一年，从最后一批货物验收之日起算。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自合同签订后1年（具体服务期以合同签订的时间为准）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合同签订后，甲方根据产品验收情况和绩效评价结果第一季度据实结算一次，经双方核对无误后，由乙方开具发票，甲方经审核后予以银行转账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合同签订后，甲方根据产品验收情况和绩效评价结果第二季度据实结算一次，经双方核对无误后，由乙方开具发票，甲方经审核后予以银行转账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合同签订后，甲方根据产品验收情况和绩效评价结果第三季度据实结算一次，经双方核对无误后，由乙方开具发票，甲方经审核后予以银行转账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合同签订后，甲方根据产品验收情况和绩效评价结果第四季度据实结算一次，经双方核对无误后，由乙方开具发票，甲方经审核后予以银行转账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2、乙方交货每逾期一天，扣除乙方本批次所供设备总价款的10%，逾期交付产品超过30天，甲方有权拒收，并要求乙方承担因逾期交付给甲方造成的经济损失。 3、乙方提供产品质量不能满足采购技术要求时，乙方必须无条件更换产品，提高技术，完善质量，否则，甲方有权终止合同并对乙方违约行为进行追究，同时要求乙方赔偿损失。 4、任何一方因不可抗力原因不能履行协议时，应尽快通知对方，双方均设法补偿。如仍无法履约协议，可协商延缓或撤销协议，双方责任免除。 5、本合同在履行过程中发生的争议，由甲、乙双方当事人协商解决，协商不成的按下列第（一）种方式解决： 1.提交西安仲裁委员会仲裁； 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落实政府采购政策需满足的资格要求：依据《中华人民共和国政府采购法》和《中华人民共和国政府采购法实施条例》的有关规定，落实政府采购“优先购买节能环保产品、扶持小微企业、监狱企业、福利企业”等相关政策。 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3、《关于运用政府采购政策支持乡村产业振兴的通知》（财库〔2021〕19 号）、《关于印发&lt;关于深入开展政府采购脱贫地区农副产品工作推进乡村产业振兴的实施意见&gt;的通知》（财库〔2021〕20 号）。 4、《国家互联网信息办公室 工业和信息化部 公安部 财政部 国家认证认可监督管理委员会关于调整网络安全专用产品安全管理有关事项的公告》（2023年第1号）。 5、《陕西省财政厅关于加快推进我省中小企业政府采购信用融资工作的通知》（陕财办采〔2020〕15 号）、《陕西省财政厅关于印发&lt;陕西省中小企业政府采购信用融资办法&gt;的通知》（陕财办采〔2018〕23 号）。 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7、《国务院办公厅关于在政府采购中实施本国产品标准及相关政策的通知》（国办发〔2025〕34号）。 8、《陕西省财政厅关于在政府采购活动中实施本国产品标准及相关政策的通知》（陕财办采〔2026〕2号） 9、其他需要落实的政府采购政策。 （二）1、为顺利推进政府采购电子化交易平台试点应用工作，供应商需要在线提交所有通过电子化交易平台实施的政府采购项目的响应文件，发布成交结果公告后，成交供应商应根据采购人要求的时间及时向采购人提交一正二副，书籍(胶装)方式装订的盖章的纸质文件，若正本和副本不一致的，以正本为准。2、供应商务必在开标截止时间30分钟前，通过项目电子化交易系统进行签到，如未进行签到，产生的一切后果由供应商自行承担。3、签名是指手写签名或者加盖名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商务条款响应偏离表.docx 资格证明文件.docx 业绩证明文件.docx 响应文件封面 磋商声明书.docx 残疾人福利性单位声明函 标的清单 其他材料.docx 响应函 磋商报价一览表.docx 服务方案.docx 监狱企业的证明文件 磋商函.docx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审计事务所出具的2024年度或2025年度的财务报告（至少包括审计报告、资产负债表、利润表、现金流量表、所有者权益变动表及其附注，成立时间至提交响应文件截止时间不足一年的可提供成立后任意时段的资产负债表）或在开标日期前六个月内其基本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（1）法定代表人直接参加磋商的，须出具法定代表人身份证明，法定代表人授权代表参加磋商的，须出具法定代表人授权书； （2）未被“中国执行信息公开网”网站（http://zxgk.court.gov.cn/）列入失信被执行人名单，未被“信用中国”网站（www.creditchina.gov.cn）列入重大税收违法失信主体名单，未被“中国政府采购网”（www.ccgp.gov.cn）列入政府采购严重违法失信行为记录名单被财政部门禁止参加政府采购活动（处罚决定规定的时间和地域范围内）； （3）不接受联合体磋商。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竞争性磋商响应文件的签署、加盖印章是否合格、有效</w:t>
            </w:r>
          </w:p>
        </w:tc>
        <w:tc>
          <w:tcPr>
            <w:tcW w:type="dxa" w:w="3322"/>
          </w:tcPr>
          <w:p>
            <w:pPr>
              <w:pStyle w:val="null3"/>
            </w:pPr>
            <w:r>
              <w:rPr>
                <w:rFonts w:ascii="仿宋_GB2312" w:hAnsi="仿宋_GB2312" w:cs="仿宋_GB2312" w:eastAsia="仿宋_GB2312"/>
              </w:rPr>
              <w:t>竞争性磋商响应文件的签署、加盖印章是否合格、有效</w:t>
            </w:r>
          </w:p>
        </w:tc>
        <w:tc>
          <w:tcPr>
            <w:tcW w:type="dxa" w:w="1661"/>
          </w:tcPr>
          <w:p>
            <w:pPr>
              <w:pStyle w:val="null3"/>
            </w:pPr>
            <w:r>
              <w:rPr>
                <w:rFonts w:ascii="仿宋_GB2312" w:hAnsi="仿宋_GB2312" w:cs="仿宋_GB2312" w:eastAsia="仿宋_GB2312"/>
              </w:rPr>
              <w:t>中小企业声明函 报价表 商务条款响应偏离表.docx 资格证明文件.docx 业绩证明文件.docx 响应文件封面 磋商声明书.docx 残疾人福利性单位声明函 标的清单 响应函 磋商报价一览表.docx 服务方案.docx 监狱企业的证明文件 磋商函.docx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磋商报价是否未超过采购预算</w:t>
            </w:r>
          </w:p>
        </w:tc>
        <w:tc>
          <w:tcPr>
            <w:tcW w:type="dxa" w:w="3322"/>
          </w:tcPr>
          <w:p>
            <w:pPr>
              <w:pStyle w:val="null3"/>
            </w:pPr>
            <w:r>
              <w:rPr>
                <w:rFonts w:ascii="仿宋_GB2312" w:hAnsi="仿宋_GB2312" w:cs="仿宋_GB2312" w:eastAsia="仿宋_GB2312"/>
              </w:rPr>
              <w:t>磋商报价是否未超过采购预算</w:t>
            </w:r>
          </w:p>
        </w:tc>
        <w:tc>
          <w:tcPr>
            <w:tcW w:type="dxa" w:w="1661"/>
          </w:tcPr>
          <w:p>
            <w:pPr>
              <w:pStyle w:val="null3"/>
            </w:pPr>
            <w:r>
              <w:rPr>
                <w:rFonts w:ascii="仿宋_GB2312" w:hAnsi="仿宋_GB2312" w:cs="仿宋_GB2312" w:eastAsia="仿宋_GB2312"/>
              </w:rPr>
              <w:t>标的清单 报价表 磋商报价一览表.docx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磋商有效期是否符合竞争性磋商文件的要求</w:t>
            </w:r>
          </w:p>
        </w:tc>
        <w:tc>
          <w:tcPr>
            <w:tcW w:type="dxa" w:w="3322"/>
          </w:tcPr>
          <w:p>
            <w:pPr>
              <w:pStyle w:val="null3"/>
            </w:pPr>
            <w:r>
              <w:rPr>
                <w:rFonts w:ascii="仿宋_GB2312" w:hAnsi="仿宋_GB2312" w:cs="仿宋_GB2312" w:eastAsia="仿宋_GB2312"/>
              </w:rPr>
              <w:t>磋商有效期是否符合竞争性磋商文件的要求</w:t>
            </w:r>
          </w:p>
        </w:tc>
        <w:tc>
          <w:tcPr>
            <w:tcW w:type="dxa" w:w="1661"/>
          </w:tcPr>
          <w:p>
            <w:pPr>
              <w:pStyle w:val="null3"/>
            </w:pPr>
            <w:r>
              <w:rPr>
                <w:rFonts w:ascii="仿宋_GB2312" w:hAnsi="仿宋_GB2312" w:cs="仿宋_GB2312" w:eastAsia="仿宋_GB2312"/>
              </w:rPr>
              <w:t>响应函 磋商函.docx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服务期是否符合采购文件要求</w:t>
            </w:r>
          </w:p>
        </w:tc>
        <w:tc>
          <w:tcPr>
            <w:tcW w:type="dxa" w:w="1661"/>
          </w:tcPr>
          <w:p>
            <w:pPr>
              <w:pStyle w:val="null3"/>
            </w:pPr>
            <w:r>
              <w:rPr>
                <w:rFonts w:ascii="仿宋_GB2312" w:hAnsi="仿宋_GB2312" w:cs="仿宋_GB2312" w:eastAsia="仿宋_GB2312"/>
              </w:rPr>
              <w:t>磋商函.docx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供应商针对本项目有具体的供货组织安排，内容至少包括：①从仓储、运输、派送的具体组织措施；②详细的实施方案；③供货计划表；④人员安排计划等。 注：评审内容任意一项缺项扣5分，扣完为止；评审内容任意一项有缺陷扣2.5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产品供应渠道正常、质量有保证，内容至少包括：①产品厂家授权书；②出厂检验合格资料；③质量保证措施等。 注：评审内容任意一项缺项扣4分，扣完为止；评审内容任意一项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仓储库存保障能力</w:t>
            </w:r>
          </w:p>
        </w:tc>
        <w:tc>
          <w:tcPr>
            <w:tcW w:type="dxa" w:w="2492"/>
          </w:tcPr>
          <w:p>
            <w:pPr>
              <w:pStyle w:val="null3"/>
            </w:pPr>
            <w:r>
              <w:rPr>
                <w:rFonts w:ascii="仿宋_GB2312" w:hAnsi="仿宋_GB2312" w:cs="仿宋_GB2312" w:eastAsia="仿宋_GB2312"/>
              </w:rPr>
              <w:t>供应商具有自有仓库或租赁仓库得5分。 注：自有仓库的提供产权证明，租赁仓库的提供租赁合同复印件及场地对应的产权证明，且同时承诺保证使用期间（租赁期）覆盖本项目服务期，未提供承诺的不得分。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配送供货时效安排</w:t>
            </w:r>
          </w:p>
        </w:tc>
        <w:tc>
          <w:tcPr>
            <w:tcW w:type="dxa" w:w="2492"/>
          </w:tcPr>
          <w:p>
            <w:pPr>
              <w:pStyle w:val="null3"/>
            </w:pPr>
            <w:r>
              <w:rPr>
                <w:rFonts w:ascii="仿宋_GB2312" w:hAnsi="仿宋_GB2312" w:cs="仿宋_GB2312" w:eastAsia="仿宋_GB2312"/>
              </w:rPr>
              <w:t>配送供货时效安排内容至少包括：①本地配送覆盖范围、配送团队及车辆；②紧急响应及送达时限承诺；③节假日、临时加单供货保障措施等。 注：评审内容任意一项缺项扣4分，扣完为止；评审内容任意一项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维修及服务配置</w:t>
            </w:r>
          </w:p>
        </w:tc>
        <w:tc>
          <w:tcPr>
            <w:tcW w:type="dxa" w:w="2492"/>
          </w:tcPr>
          <w:p>
            <w:pPr>
              <w:pStyle w:val="null3"/>
            </w:pPr>
            <w:r>
              <w:rPr>
                <w:rFonts w:ascii="仿宋_GB2312" w:hAnsi="仿宋_GB2312" w:cs="仿宋_GB2312" w:eastAsia="仿宋_GB2312"/>
              </w:rPr>
              <w:t>维修及服务配置内容至少包括：①专职维修人员；②故障响应到场时限、当日修复承诺等。 注：评审内容任意一项缺项扣5分，扣完为止；评审内容任意一项有缺陷扣2.5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应急预案内容至少包括：①具体应急处置流程及方法；②应急资源配置及保障措施等。 注：评审内容任意一项缺项扣4分，扣完为止；评审内容任意一项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本项目合理化建议内容至少包括：①贴合项目实际的优化建议、如降低成本、减少消耗；②建议的可行性分析。 注：评审内容任意一项缺项扣4分，扣完为止；评审内容任意一项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供应商具有2023年1月1日（以合同签订时间为准）同类项目业绩，响应文件中提供合同复印件加盖公章，每提供一个得2分，最高得10分。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 投标报价得分=（评标基准价/最后报价）×价格权值×100 注：投标人的报价明显低于其他投标报价，评标委员会应当要求该投标人作出书面说明并提供相关证明材料。投标人不能合理说明或者不能提供相关证明材料的，由评标委员会认定该投标人以低于成本报价竞标，其投标应作无效投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磋商函.docx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详见附件：磋商函.docx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详见附件：磋商声明书.docx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