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A298A">
      <w:pPr>
        <w:pStyle w:val="3"/>
        <w:jc w:val="center"/>
        <w:rPr>
          <w:rFonts w:hint="eastAsia" w:ascii="仿宋" w:hAnsi="仿宋" w:eastAsia="仿宋" w:cs="仿宋"/>
          <w:color w:val="auto"/>
          <w:highlight w:val="none"/>
        </w:rPr>
      </w:pPr>
      <w:r>
        <w:rPr>
          <w:rFonts w:hint="eastAsia" w:ascii="仿宋" w:hAnsi="仿宋" w:eastAsia="仿宋" w:cs="仿宋"/>
          <w:color w:val="auto"/>
          <w:highlight w:val="none"/>
        </w:rPr>
        <w:t>合同条款及格式</w:t>
      </w:r>
    </w:p>
    <w:p w14:paraId="4D8B4F1B">
      <w:pPr>
        <w:pStyle w:val="8"/>
        <w:jc w:val="center"/>
        <w:outlineLvl w:val="2"/>
        <w:rPr>
          <w:rFonts w:hint="eastAsia" w:ascii="仿宋" w:hAnsi="仿宋" w:eastAsia="仿宋" w:cs="仿宋"/>
          <w:color w:val="auto"/>
          <w:sz w:val="32"/>
          <w:szCs w:val="32"/>
          <w:highlight w:val="none"/>
        </w:rPr>
      </w:pPr>
      <w:bookmarkStart w:id="0" w:name="_Toc152042388"/>
      <w:bookmarkStart w:id="1" w:name="_Toc152045610"/>
      <w:bookmarkStart w:id="2" w:name="_Toc144974578"/>
      <w:bookmarkStart w:id="3" w:name="_Toc250560953"/>
      <w:r>
        <w:rPr>
          <w:rFonts w:hint="eastAsia" w:ascii="仿宋" w:hAnsi="仿宋" w:eastAsia="仿宋" w:cs="仿宋"/>
          <w:color w:val="auto"/>
          <w:sz w:val="32"/>
          <w:szCs w:val="32"/>
          <w:highlight w:val="none"/>
        </w:rPr>
        <w:t>第一节 通用合同条款</w:t>
      </w:r>
      <w:bookmarkEnd w:id="0"/>
      <w:bookmarkEnd w:id="1"/>
      <w:bookmarkEnd w:id="2"/>
      <w:bookmarkEnd w:id="3"/>
    </w:p>
    <w:p w14:paraId="71353A1A">
      <w:pPr>
        <w:pStyle w:val="8"/>
        <w:jc w:val="center"/>
        <w:outlineLvl w:val="9"/>
        <w:rPr>
          <w:rFonts w:hint="eastAsia" w:ascii="仿宋" w:hAnsi="仿宋" w:eastAsia="仿宋" w:cs="仿宋"/>
          <w:color w:val="auto"/>
          <w:sz w:val="32"/>
          <w:szCs w:val="32"/>
          <w:highlight w:val="none"/>
        </w:rPr>
      </w:pPr>
    </w:p>
    <w:p w14:paraId="0D298AAA">
      <w:pPr>
        <w:pStyle w:val="8"/>
        <w:jc w:val="center"/>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通用合同条款</w:t>
      </w:r>
    </w:p>
    <w:p w14:paraId="04008F0D">
      <w:pPr>
        <w:spacing w:line="400" w:lineRule="exact"/>
        <w:ind w:firstLine="420" w:firstLineChars="200"/>
        <w:rPr>
          <w:rFonts w:hint="eastAsia" w:ascii="仿宋" w:hAnsi="仿宋" w:eastAsia="仿宋" w:cs="仿宋"/>
          <w:color w:val="auto"/>
          <w:highlight w:val="none"/>
        </w:rPr>
      </w:pPr>
    </w:p>
    <w:p w14:paraId="489BFD7C">
      <w:pPr>
        <w:pStyle w:val="5"/>
        <w:kinsoku w:val="0"/>
        <w:overflowPunct w:val="0"/>
        <w:spacing w:after="0" w:line="400" w:lineRule="exact"/>
        <w:ind w:firstLine="479"/>
        <w:rPr>
          <w:rFonts w:hint="eastAsia" w:ascii="仿宋" w:hAnsi="仿宋" w:eastAsia="仿宋" w:cs="仿宋"/>
          <w:color w:val="auto"/>
          <w:highlight w:val="none"/>
        </w:rPr>
      </w:pPr>
    </w:p>
    <w:p w14:paraId="36743700">
      <w:pPr>
        <w:pStyle w:val="5"/>
        <w:kinsoku w:val="0"/>
        <w:overflowPunct w:val="0"/>
        <w:spacing w:after="0" w:line="400" w:lineRule="exact"/>
        <w:ind w:firstLine="479"/>
        <w:rPr>
          <w:rFonts w:hint="eastAsia" w:ascii="仿宋" w:hAnsi="仿宋" w:eastAsia="仿宋" w:cs="仿宋"/>
          <w:color w:val="auto"/>
          <w:highlight w:val="none"/>
        </w:rPr>
      </w:pPr>
      <w:r>
        <w:rPr>
          <w:rFonts w:hint="eastAsia" w:ascii="仿宋" w:hAnsi="仿宋" w:eastAsia="仿宋" w:cs="仿宋"/>
          <w:color w:val="auto"/>
          <w:highlight w:val="none"/>
        </w:rPr>
        <w:t>“通用合同条款”采用《公路工程标准施工招标文件》（2018年版）（简称《标准施工招标文件》）的“通用条款”，《公路工程标准施工招标文件》（2018年版）由投标人自行购买。</w:t>
      </w:r>
    </w:p>
    <w:p w14:paraId="39D8888B">
      <w:pPr>
        <w:pStyle w:val="5"/>
        <w:kinsoku w:val="0"/>
        <w:overflowPunct w:val="0"/>
        <w:spacing w:after="0" w:line="400" w:lineRule="exact"/>
        <w:ind w:firstLine="479"/>
        <w:rPr>
          <w:rFonts w:hint="eastAsia" w:ascii="仿宋" w:hAnsi="仿宋" w:eastAsia="仿宋" w:cs="仿宋"/>
          <w:color w:val="auto"/>
          <w:highlight w:val="none"/>
        </w:rPr>
      </w:pPr>
    </w:p>
    <w:p w14:paraId="3138C39F">
      <w:pPr>
        <w:spacing w:line="400" w:lineRule="exact"/>
        <w:rPr>
          <w:rFonts w:hint="eastAsia" w:ascii="仿宋" w:hAnsi="仿宋" w:eastAsia="仿宋" w:cs="仿宋"/>
          <w:color w:val="auto"/>
          <w:highlight w:val="none"/>
        </w:rPr>
      </w:pPr>
    </w:p>
    <w:p w14:paraId="58C68212">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br w:type="page"/>
      </w:r>
      <w:bookmarkStart w:id="4" w:name="_Toc152045766"/>
      <w:bookmarkStart w:id="5" w:name="_Toc250560954"/>
      <w:bookmarkStart w:id="6" w:name="_Toc144974736"/>
      <w:bookmarkStart w:id="7" w:name="_Toc152042545"/>
      <w:bookmarkStart w:id="8" w:name="_Toc179632784"/>
      <w:r>
        <w:rPr>
          <w:rFonts w:hint="eastAsia" w:ascii="仿宋" w:hAnsi="仿宋" w:eastAsia="仿宋" w:cs="仿宋"/>
          <w:color w:val="auto"/>
          <w:sz w:val="32"/>
          <w:szCs w:val="32"/>
          <w:highlight w:val="none"/>
        </w:rPr>
        <w:t>第二节  专用合同条款</w:t>
      </w:r>
      <w:bookmarkEnd w:id="4"/>
      <w:bookmarkEnd w:id="5"/>
      <w:bookmarkEnd w:id="6"/>
      <w:bookmarkEnd w:id="7"/>
      <w:bookmarkEnd w:id="8"/>
      <w:bookmarkStart w:id="9" w:name="_Toc250560955"/>
    </w:p>
    <w:p w14:paraId="44D086FF">
      <w:pPr>
        <w:pStyle w:val="8"/>
        <w:jc w:val="center"/>
        <w:outlineLvl w:val="9"/>
        <w:rPr>
          <w:rFonts w:hint="eastAsia" w:ascii="仿宋" w:hAnsi="仿宋" w:eastAsia="仿宋" w:cs="仿宋"/>
          <w:color w:val="auto"/>
          <w:sz w:val="32"/>
          <w:szCs w:val="32"/>
          <w:highlight w:val="none"/>
        </w:rPr>
      </w:pPr>
    </w:p>
    <w:bookmarkEnd w:id="9"/>
    <w:p w14:paraId="049F3977">
      <w:pPr>
        <w:pStyle w:val="8"/>
        <w:jc w:val="center"/>
        <w:outlineLvl w:val="9"/>
        <w:rPr>
          <w:rFonts w:hint="eastAsia" w:ascii="仿宋" w:hAnsi="仿宋" w:eastAsia="仿宋" w:cs="仿宋"/>
          <w:color w:val="auto"/>
          <w:highlight w:val="none"/>
        </w:rPr>
      </w:pPr>
    </w:p>
    <w:p w14:paraId="3A187949">
      <w:pPr>
        <w:pStyle w:val="8"/>
        <w:jc w:val="center"/>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A.公路工程专用合同条款</w:t>
      </w:r>
    </w:p>
    <w:p w14:paraId="2D8260FF">
      <w:pPr>
        <w:spacing w:line="400" w:lineRule="exact"/>
        <w:ind w:firstLine="420" w:firstLineChars="200"/>
        <w:rPr>
          <w:rFonts w:hint="eastAsia" w:ascii="仿宋" w:hAnsi="仿宋" w:eastAsia="仿宋" w:cs="仿宋"/>
          <w:color w:val="auto"/>
          <w:highlight w:val="none"/>
        </w:rPr>
      </w:pPr>
    </w:p>
    <w:p w14:paraId="5EF66C16">
      <w:pPr>
        <w:spacing w:line="400" w:lineRule="exact"/>
        <w:ind w:firstLine="420" w:firstLineChars="200"/>
        <w:rPr>
          <w:rFonts w:hint="eastAsia" w:ascii="仿宋" w:hAnsi="仿宋" w:eastAsia="仿宋" w:cs="仿宋"/>
          <w:b/>
          <w:color w:val="auto"/>
          <w:sz w:val="24"/>
          <w:highlight w:val="none"/>
        </w:rPr>
      </w:pPr>
      <w:r>
        <w:rPr>
          <w:rFonts w:hint="eastAsia" w:ascii="仿宋" w:hAnsi="仿宋" w:eastAsia="仿宋" w:cs="仿宋"/>
          <w:color w:val="auto"/>
          <w:highlight w:val="none"/>
        </w:rPr>
        <w:t>“公路工程专用合同条款”采用《公路工程标准施工招标文件》（2018年版）（简称《公路工程标准文件》）的“公路工程专用合同条款”，《公路工程标准施工招标文件》（2018年版）由投标人自行购买。</w:t>
      </w:r>
    </w:p>
    <w:p w14:paraId="5326ECAF">
      <w:pPr>
        <w:pStyle w:val="8"/>
        <w:jc w:val="center"/>
        <w:outlineLvl w:val="2"/>
        <w:rPr>
          <w:rFonts w:hint="eastAsia" w:ascii="仿宋" w:hAnsi="仿宋" w:eastAsia="仿宋" w:cs="仿宋"/>
          <w:color w:val="auto"/>
          <w:sz w:val="32"/>
          <w:szCs w:val="32"/>
          <w:highlight w:val="none"/>
        </w:rPr>
      </w:pPr>
      <w:r>
        <w:rPr>
          <w:rFonts w:hint="eastAsia" w:ascii="仿宋" w:hAnsi="仿宋" w:eastAsia="仿宋" w:cs="仿宋"/>
          <w:color w:val="auto"/>
          <w:sz w:val="21"/>
          <w:szCs w:val="24"/>
          <w:highlight w:val="none"/>
        </w:rPr>
        <w:br w:type="page"/>
      </w:r>
      <w:bookmarkStart w:id="10" w:name="_Toc250560956"/>
      <w:r>
        <w:rPr>
          <w:rFonts w:hint="eastAsia" w:ascii="仿宋" w:hAnsi="仿宋" w:eastAsia="仿宋" w:cs="仿宋"/>
          <w:color w:val="auto"/>
          <w:sz w:val="32"/>
          <w:szCs w:val="32"/>
          <w:highlight w:val="none"/>
        </w:rPr>
        <w:t>B、项目专用合同条款</w:t>
      </w:r>
      <w:bookmarkEnd w:id="10"/>
    </w:p>
    <w:p w14:paraId="3DA1C5C1">
      <w:pPr>
        <w:pStyle w:val="8"/>
        <w:outlineLvl w:val="3"/>
        <w:rPr>
          <w:rFonts w:hint="eastAsia" w:ascii="仿宋" w:hAnsi="仿宋" w:eastAsia="仿宋" w:cs="仿宋"/>
          <w:b/>
          <w:color w:val="auto"/>
          <w:highlight w:val="none"/>
        </w:rPr>
      </w:pPr>
      <w:bookmarkStart w:id="11" w:name="_Toc250560957"/>
      <w:r>
        <w:rPr>
          <w:rFonts w:hint="eastAsia" w:ascii="仿宋" w:hAnsi="仿宋" w:eastAsia="仿宋" w:cs="仿宋"/>
          <w:b/>
          <w:color w:val="auto"/>
          <w:highlight w:val="none"/>
        </w:rPr>
        <w:t>说明：</w:t>
      </w:r>
      <w:bookmarkEnd w:id="11"/>
    </w:p>
    <w:p w14:paraId="6B1A3DA0">
      <w:pPr>
        <w:spacing w:line="4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1.招标人在根据《公路工程标准施工招标文件》编制项目招标文件中的“项目专用合同条款”时，可根据招标项目的具体特点和实际需要，对“通用合同条款”及“公 路工程专用合同条款”进行补充和细化，除“通用合同条款”明确“专用合同条款”可作出不同约定以及“公路工程专用合同条款”明确“项目专用合同条款”可作出不同约定外，补充和细化的内容不得与“通用合同条款”及“公路工程专用合同条款”强制性规定相抵触。同时，补充、细化或约定的内容，不得违反法律、行政法规的强制性规定和平等、自愿、公平和诚实信用原则。</w:t>
      </w:r>
    </w:p>
    <w:p w14:paraId="2D59B2AC">
      <w:pPr>
        <w:spacing w:line="4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2.项目专用合同条款的编号应与通用合同条款和公路工程专用合同条款一致。</w:t>
      </w:r>
    </w:p>
    <w:p w14:paraId="3A49804A">
      <w:pPr>
        <w:spacing w:line="4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3.项目专用合同条款可对下列内容进行补充和细化：</w:t>
      </w:r>
    </w:p>
    <w:p w14:paraId="1C16CFCD">
      <w:pPr>
        <w:spacing w:line="4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通用合同条款”中明确指出“专用合同条款”可对“通用合同条款”进行修改的内容（在“通用合同条款”中用“应按合同约定”“应按专用合同条款约定”“除合同另有约定外、除专用合同条款另有约定外、在专用合同条款中约定”等多种文字形式表达）；</w:t>
      </w:r>
    </w:p>
    <w:p w14:paraId="57582174">
      <w:pPr>
        <w:spacing w:line="4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公路工程专用合同条款”中明确指出“项目专用合同条款”可对“公路工程专用合同条款”进行修改的内容（在“公路工程专用合同条款”中用“除项目专用合同条款另有约定外项目专用合同条款可能约定的”“项目专用合同条款约定的其他情形”等多种文字形式表达）。</w:t>
      </w:r>
    </w:p>
    <w:p w14:paraId="59BC7F6D">
      <w:pPr>
        <w:spacing w:line="4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（3）其他需要补充、细化的内容。</w:t>
      </w:r>
    </w:p>
    <w:p w14:paraId="592EE400">
      <w:pPr>
        <w:spacing w:line="400" w:lineRule="exact"/>
        <w:jc w:val="center"/>
        <w:rPr>
          <w:rFonts w:hint="eastAsia" w:ascii="仿宋" w:hAnsi="仿宋" w:eastAsia="仿宋" w:cs="仿宋"/>
          <w:color w:val="auto"/>
          <w:sz w:val="32"/>
          <w:szCs w:val="32"/>
          <w:highlight w:val="none"/>
        </w:rPr>
      </w:pPr>
      <w:r>
        <w:rPr>
          <w:rFonts w:hint="eastAsia" w:ascii="仿宋" w:hAnsi="仿宋" w:eastAsia="仿宋" w:cs="仿宋"/>
          <w:color w:val="auto"/>
          <w:highlight w:val="none"/>
        </w:rPr>
        <w:br w:type="page"/>
      </w:r>
      <w:r>
        <w:rPr>
          <w:rFonts w:hint="eastAsia" w:ascii="仿宋" w:hAnsi="仿宋" w:eastAsia="仿宋" w:cs="仿宋"/>
          <w:color w:val="auto"/>
          <w:sz w:val="32"/>
          <w:szCs w:val="32"/>
          <w:highlight w:val="none"/>
        </w:rPr>
        <w:t>项目专用合同条款数据表</w:t>
      </w:r>
    </w:p>
    <w:p w14:paraId="7C8B67D8">
      <w:pPr>
        <w:spacing w:line="400" w:lineRule="exact"/>
        <w:rPr>
          <w:rFonts w:hint="eastAsia" w:ascii="仿宋" w:hAnsi="仿宋" w:eastAsia="仿宋" w:cs="仿宋"/>
          <w:color w:val="auto"/>
          <w:highlight w:val="none"/>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087"/>
        <w:gridCol w:w="7007"/>
      </w:tblGrid>
      <w:tr w14:paraId="6B1CF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blHeader/>
        </w:trPr>
        <w:tc>
          <w:tcPr>
            <w:tcW w:w="834" w:type="dxa"/>
            <w:tcBorders>
              <w:top w:val="single" w:color="auto" w:sz="4" w:space="0"/>
              <w:left w:val="single" w:color="auto" w:sz="4" w:space="0"/>
              <w:bottom w:val="single" w:color="auto" w:sz="4" w:space="0"/>
              <w:right w:val="single" w:color="auto" w:sz="4" w:space="0"/>
            </w:tcBorders>
            <w:noWrap w:val="0"/>
            <w:vAlign w:val="center"/>
          </w:tcPr>
          <w:p w14:paraId="15508E78">
            <w:pPr>
              <w:jc w:val="center"/>
              <w:rPr>
                <w:rFonts w:hint="eastAsia" w:ascii="仿宋" w:hAnsi="仿宋" w:eastAsia="仿宋" w:cs="仿宋"/>
                <w:color w:val="auto"/>
                <w:highlight w:val="none"/>
              </w:rPr>
            </w:pPr>
            <w:r>
              <w:rPr>
                <w:rFonts w:hint="eastAsia" w:ascii="仿宋" w:hAnsi="仿宋" w:eastAsia="仿宋" w:cs="仿宋"/>
                <w:color w:val="auto"/>
                <w:highlight w:val="none"/>
              </w:rPr>
              <w:t>序号</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42AA429D">
            <w:pPr>
              <w:jc w:val="center"/>
              <w:rPr>
                <w:rFonts w:hint="eastAsia" w:ascii="仿宋" w:hAnsi="仿宋" w:eastAsia="仿宋" w:cs="仿宋"/>
                <w:color w:val="auto"/>
                <w:highlight w:val="none"/>
              </w:rPr>
            </w:pPr>
            <w:r>
              <w:rPr>
                <w:rFonts w:hint="eastAsia" w:ascii="仿宋" w:hAnsi="仿宋" w:eastAsia="仿宋" w:cs="仿宋"/>
                <w:color w:val="auto"/>
                <w:highlight w:val="none"/>
              </w:rPr>
              <w:t>条目</w:t>
            </w:r>
          </w:p>
        </w:tc>
        <w:tc>
          <w:tcPr>
            <w:tcW w:w="7007" w:type="dxa"/>
            <w:tcBorders>
              <w:top w:val="single" w:color="auto" w:sz="4" w:space="0"/>
              <w:left w:val="single" w:color="auto" w:sz="4" w:space="0"/>
              <w:bottom w:val="single" w:color="auto" w:sz="4" w:space="0"/>
              <w:right w:val="single" w:color="auto" w:sz="4" w:space="0"/>
            </w:tcBorders>
            <w:noWrap w:val="0"/>
            <w:vAlign w:val="center"/>
          </w:tcPr>
          <w:p w14:paraId="798EF3D3">
            <w:pPr>
              <w:jc w:val="center"/>
              <w:rPr>
                <w:rFonts w:hint="eastAsia" w:ascii="仿宋" w:hAnsi="仿宋" w:eastAsia="仿宋" w:cs="仿宋"/>
                <w:color w:val="auto"/>
                <w:highlight w:val="none"/>
              </w:rPr>
            </w:pPr>
            <w:r>
              <w:rPr>
                <w:rFonts w:hint="eastAsia" w:ascii="仿宋" w:hAnsi="仿宋" w:eastAsia="仿宋" w:cs="仿宋"/>
                <w:color w:val="auto"/>
                <w:highlight w:val="none"/>
              </w:rPr>
              <w:t>信息或数据</w:t>
            </w:r>
          </w:p>
        </w:tc>
      </w:tr>
      <w:tr w14:paraId="5C5B1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7D1A0EDE">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56848E0E">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1.1.2.2</w:t>
            </w:r>
          </w:p>
        </w:tc>
        <w:tc>
          <w:tcPr>
            <w:tcW w:w="7007" w:type="dxa"/>
            <w:tcBorders>
              <w:top w:val="single" w:color="auto" w:sz="4" w:space="0"/>
              <w:left w:val="single" w:color="auto" w:sz="4" w:space="0"/>
              <w:bottom w:val="single" w:color="auto" w:sz="4" w:space="0"/>
              <w:right w:val="single" w:color="auto" w:sz="4" w:space="0"/>
            </w:tcBorders>
            <w:noWrap w:val="0"/>
            <w:vAlign w:val="top"/>
          </w:tcPr>
          <w:p w14:paraId="5FA0FF5A">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发包人：陕西省铜川公路管理局</w:t>
            </w:r>
          </w:p>
          <w:p w14:paraId="7C3C2991">
            <w:pPr>
              <w:spacing w:line="400" w:lineRule="exact"/>
              <w:jc w:val="left"/>
              <w:rPr>
                <w:rFonts w:hint="eastAsia" w:ascii="仿宋" w:hAnsi="仿宋" w:eastAsia="仿宋" w:cs="仿宋"/>
                <w:color w:val="auto"/>
                <w:highlight w:val="none"/>
              </w:rPr>
            </w:pPr>
            <w:r>
              <w:rPr>
                <w:rFonts w:hint="eastAsia" w:ascii="仿宋" w:hAnsi="仿宋" w:eastAsia="仿宋" w:cs="仿宋"/>
                <w:color w:val="auto"/>
                <w:highlight w:val="none"/>
              </w:rPr>
              <w:t>地  址：铜川市新区铁诺南路1号   邮政编码：727031</w:t>
            </w:r>
          </w:p>
        </w:tc>
      </w:tr>
      <w:tr w14:paraId="172E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3D0FCA93">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2</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66132AD0">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1.1.2.6</w:t>
            </w:r>
          </w:p>
        </w:tc>
        <w:tc>
          <w:tcPr>
            <w:tcW w:w="7007" w:type="dxa"/>
            <w:tcBorders>
              <w:top w:val="single" w:color="auto" w:sz="4" w:space="0"/>
              <w:left w:val="single" w:color="auto" w:sz="4" w:space="0"/>
              <w:bottom w:val="single" w:color="auto" w:sz="4" w:space="0"/>
              <w:right w:val="single" w:color="auto" w:sz="4" w:space="0"/>
            </w:tcBorders>
            <w:noWrap w:val="0"/>
            <w:vAlign w:val="top"/>
          </w:tcPr>
          <w:p w14:paraId="71C4569F">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监理人：由发包人委托确定，并书面通知承包人。</w:t>
            </w:r>
          </w:p>
        </w:tc>
      </w:tr>
      <w:tr w14:paraId="1C372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7A2C4FF6">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3</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6B8E0873">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1.1.4.5</w:t>
            </w:r>
          </w:p>
        </w:tc>
        <w:tc>
          <w:tcPr>
            <w:tcW w:w="7007" w:type="dxa"/>
            <w:tcBorders>
              <w:top w:val="single" w:color="auto" w:sz="4" w:space="0"/>
              <w:left w:val="single" w:color="auto" w:sz="4" w:space="0"/>
              <w:bottom w:val="single" w:color="auto" w:sz="4" w:space="0"/>
              <w:right w:val="single" w:color="auto" w:sz="4" w:space="0"/>
            </w:tcBorders>
            <w:noWrap w:val="0"/>
            <w:vAlign w:val="top"/>
          </w:tcPr>
          <w:p w14:paraId="57072041">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缺陷责任期：自实际交工日期起计算</w:t>
            </w:r>
            <w:r>
              <w:rPr>
                <w:rFonts w:hint="eastAsia" w:ascii="仿宋" w:hAnsi="仿宋" w:eastAsia="仿宋" w:cs="仿宋"/>
                <w:color w:val="auto"/>
                <w:highlight w:val="none"/>
                <w:u w:val="single"/>
              </w:rPr>
              <w:t>2</w:t>
            </w:r>
            <w:r>
              <w:rPr>
                <w:rFonts w:hint="eastAsia" w:ascii="仿宋" w:hAnsi="仿宋" w:eastAsia="仿宋" w:cs="仿宋"/>
                <w:color w:val="auto"/>
                <w:highlight w:val="none"/>
              </w:rPr>
              <w:t>年</w:t>
            </w:r>
          </w:p>
        </w:tc>
      </w:tr>
      <w:tr w14:paraId="3C15F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5BC2993D">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4</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574CADA2">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1.6.3</w:t>
            </w:r>
          </w:p>
        </w:tc>
        <w:tc>
          <w:tcPr>
            <w:tcW w:w="7007" w:type="dxa"/>
            <w:tcBorders>
              <w:top w:val="single" w:color="auto" w:sz="4" w:space="0"/>
              <w:left w:val="single" w:color="auto" w:sz="4" w:space="0"/>
              <w:bottom w:val="single" w:color="auto" w:sz="4" w:space="0"/>
              <w:right w:val="single" w:color="auto" w:sz="4" w:space="0"/>
            </w:tcBorders>
            <w:noWrap w:val="0"/>
            <w:vAlign w:val="top"/>
          </w:tcPr>
          <w:p w14:paraId="1F383B45">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图纸需要修改和补充的，应由监理人取得发包人同意后，在该工程或工程相应部位施工前</w:t>
            </w:r>
            <w:r>
              <w:rPr>
                <w:rFonts w:hint="eastAsia" w:ascii="仿宋" w:hAnsi="仿宋" w:eastAsia="仿宋" w:cs="仿宋"/>
                <w:color w:val="auto"/>
                <w:highlight w:val="none"/>
                <w:u w:val="single"/>
              </w:rPr>
              <w:t>7</w:t>
            </w:r>
            <w:r>
              <w:rPr>
                <w:rFonts w:hint="eastAsia" w:ascii="仿宋" w:hAnsi="仿宋" w:eastAsia="仿宋" w:cs="仿宋"/>
                <w:color w:val="auto"/>
                <w:highlight w:val="none"/>
              </w:rPr>
              <w:t>天签发图纸修改图给承包人</w:t>
            </w:r>
          </w:p>
        </w:tc>
      </w:tr>
      <w:tr w14:paraId="1542E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37F6E6F0">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5</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23DCC178">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3.1.1</w:t>
            </w:r>
          </w:p>
        </w:tc>
        <w:tc>
          <w:tcPr>
            <w:tcW w:w="7007" w:type="dxa"/>
            <w:tcBorders>
              <w:top w:val="single" w:color="auto" w:sz="4" w:space="0"/>
              <w:left w:val="single" w:color="auto" w:sz="4" w:space="0"/>
              <w:bottom w:val="single" w:color="auto" w:sz="4" w:space="0"/>
              <w:right w:val="single" w:color="auto" w:sz="4" w:space="0"/>
            </w:tcBorders>
            <w:noWrap w:val="0"/>
            <w:vAlign w:val="top"/>
          </w:tcPr>
          <w:p w14:paraId="5F9244FD">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监理人在行使下列权力前需要经发包人事先批准：</w:t>
            </w:r>
          </w:p>
          <w:p w14:paraId="72DB6B6E">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（6）根据第15.3款发出的变更指示，其单项工程变更涉及的金额超过了该单项工程签约时合同价的</w:t>
            </w:r>
            <w:r>
              <w:rPr>
                <w:rFonts w:hint="eastAsia" w:ascii="仿宋" w:hAnsi="仿宋" w:eastAsia="仿宋" w:cs="仿宋"/>
                <w:color w:val="auto"/>
                <w:highlight w:val="none"/>
                <w:u w:val="single"/>
              </w:rPr>
              <w:t xml:space="preserve">10 </w:t>
            </w:r>
            <w:r>
              <w:rPr>
                <w:rFonts w:hint="eastAsia" w:ascii="仿宋" w:hAnsi="仿宋" w:eastAsia="仿宋" w:cs="仿宋"/>
                <w:color w:val="auto"/>
                <w:highlight w:val="none"/>
              </w:rPr>
              <w:t>%或累计变更超过了签约合同价的</w:t>
            </w:r>
            <w:r>
              <w:rPr>
                <w:rFonts w:hint="eastAsia" w:ascii="仿宋" w:hAnsi="仿宋" w:eastAsia="仿宋" w:cs="仿宋"/>
                <w:color w:val="auto"/>
                <w:highlight w:val="none"/>
                <w:u w:val="single"/>
              </w:rPr>
              <w:t>5</w:t>
            </w:r>
            <w:r>
              <w:rPr>
                <w:rFonts w:hint="eastAsia" w:ascii="仿宋" w:hAnsi="仿宋" w:eastAsia="仿宋" w:cs="仿宋"/>
                <w:color w:val="auto"/>
                <w:highlight w:val="none"/>
              </w:rPr>
              <w:t>%</w:t>
            </w:r>
          </w:p>
        </w:tc>
      </w:tr>
      <w:tr w14:paraId="71C07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589FF155">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6</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78B09001">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5.2.1</w:t>
            </w:r>
          </w:p>
        </w:tc>
        <w:tc>
          <w:tcPr>
            <w:tcW w:w="7007" w:type="dxa"/>
            <w:tcBorders>
              <w:top w:val="single" w:color="auto" w:sz="4" w:space="0"/>
              <w:left w:val="single" w:color="auto" w:sz="4" w:space="0"/>
              <w:bottom w:val="single" w:color="auto" w:sz="4" w:space="0"/>
              <w:right w:val="single" w:color="auto" w:sz="4" w:space="0"/>
            </w:tcBorders>
            <w:noWrap w:val="0"/>
            <w:vAlign w:val="top"/>
          </w:tcPr>
          <w:p w14:paraId="1FE52132">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发包人是否提供材料或工程设备：</w:t>
            </w:r>
            <w:r>
              <w:rPr>
                <w:rFonts w:hint="eastAsia" w:ascii="仿宋" w:hAnsi="仿宋" w:eastAsia="仿宋" w:cs="仿宋"/>
                <w:color w:val="auto"/>
                <w:highlight w:val="none"/>
                <w:u w:val="single"/>
              </w:rPr>
              <w:t>否</w:t>
            </w:r>
          </w:p>
        </w:tc>
      </w:tr>
      <w:tr w14:paraId="576F9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1C94D84A">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7</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515B4A5C">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6.2</w:t>
            </w:r>
          </w:p>
        </w:tc>
        <w:tc>
          <w:tcPr>
            <w:tcW w:w="7007" w:type="dxa"/>
            <w:tcBorders>
              <w:top w:val="single" w:color="auto" w:sz="4" w:space="0"/>
              <w:left w:val="single" w:color="auto" w:sz="4" w:space="0"/>
              <w:bottom w:val="single" w:color="auto" w:sz="4" w:space="0"/>
              <w:right w:val="single" w:color="auto" w:sz="4" w:space="0"/>
            </w:tcBorders>
            <w:noWrap w:val="0"/>
            <w:vAlign w:val="top"/>
          </w:tcPr>
          <w:p w14:paraId="10130925">
            <w:pPr>
              <w:spacing w:line="400" w:lineRule="exact"/>
              <w:rPr>
                <w:rFonts w:hint="eastAsia" w:ascii="仿宋" w:hAnsi="仿宋" w:eastAsia="仿宋" w:cs="仿宋"/>
                <w:color w:val="auto"/>
                <w:highlight w:val="none"/>
                <w:u w:val="single"/>
              </w:rPr>
            </w:pPr>
            <w:r>
              <w:rPr>
                <w:rFonts w:hint="eastAsia" w:ascii="仿宋" w:hAnsi="仿宋" w:eastAsia="仿宋" w:cs="仿宋"/>
                <w:color w:val="auto"/>
                <w:highlight w:val="none"/>
              </w:rPr>
              <w:t>发包人是否提供施工设备和临时设施：</w:t>
            </w:r>
            <w:r>
              <w:rPr>
                <w:rFonts w:hint="eastAsia" w:ascii="仿宋" w:hAnsi="仿宋" w:eastAsia="仿宋" w:cs="仿宋"/>
                <w:color w:val="auto"/>
                <w:highlight w:val="none"/>
                <w:u w:val="single"/>
              </w:rPr>
              <w:t>否</w:t>
            </w:r>
          </w:p>
        </w:tc>
      </w:tr>
      <w:tr w14:paraId="50C7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2B656FE9">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8</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1CCCFE31">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8.1.1</w:t>
            </w:r>
          </w:p>
        </w:tc>
        <w:tc>
          <w:tcPr>
            <w:tcW w:w="7007" w:type="dxa"/>
            <w:tcBorders>
              <w:top w:val="single" w:color="auto" w:sz="4" w:space="0"/>
              <w:left w:val="single" w:color="auto" w:sz="4" w:space="0"/>
              <w:bottom w:val="single" w:color="auto" w:sz="4" w:space="0"/>
              <w:right w:val="single" w:color="auto" w:sz="4" w:space="0"/>
            </w:tcBorders>
            <w:noWrap w:val="0"/>
            <w:vAlign w:val="top"/>
          </w:tcPr>
          <w:p w14:paraId="7BF07F26">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发包人提供测量基准点、基准线和水准点及其书面资料的期限：</w:t>
            </w:r>
            <w:r>
              <w:rPr>
                <w:rFonts w:hint="eastAsia" w:ascii="仿宋" w:hAnsi="仿宋" w:eastAsia="仿宋" w:cs="仿宋"/>
                <w:color w:val="auto"/>
                <w:highlight w:val="none"/>
                <w:u w:val="single"/>
              </w:rPr>
              <w:t>承包人在与业主签订合同协议书后7天内</w:t>
            </w:r>
            <w:r>
              <w:rPr>
                <w:rFonts w:hint="eastAsia" w:ascii="仿宋" w:hAnsi="仿宋" w:eastAsia="仿宋" w:cs="仿宋"/>
                <w:color w:val="auto"/>
                <w:highlight w:val="none"/>
              </w:rPr>
              <w:t>。</w:t>
            </w:r>
          </w:p>
          <w:p w14:paraId="3113E280">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承包人将施工控制网资料报送监理人审批的期限：</w:t>
            </w:r>
            <w:r>
              <w:rPr>
                <w:rFonts w:hint="eastAsia" w:ascii="仿宋" w:hAnsi="仿宋" w:eastAsia="仿宋" w:cs="仿宋"/>
                <w:color w:val="auto"/>
                <w:highlight w:val="none"/>
                <w:u w:val="single"/>
              </w:rPr>
              <w:t>承包人在与业主签订合同协议书后7天内</w:t>
            </w:r>
            <w:r>
              <w:rPr>
                <w:rFonts w:hint="eastAsia" w:ascii="仿宋" w:hAnsi="仿宋" w:eastAsia="仿宋" w:cs="仿宋"/>
                <w:color w:val="auto"/>
                <w:highlight w:val="none"/>
              </w:rPr>
              <w:t>。</w:t>
            </w:r>
          </w:p>
        </w:tc>
      </w:tr>
      <w:tr w14:paraId="3A7F9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20D6F476">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9</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0402B348">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11.5</w:t>
            </w:r>
          </w:p>
        </w:tc>
        <w:tc>
          <w:tcPr>
            <w:tcW w:w="7007" w:type="dxa"/>
            <w:tcBorders>
              <w:top w:val="single" w:color="auto" w:sz="4" w:space="0"/>
              <w:left w:val="single" w:color="auto" w:sz="4" w:space="0"/>
              <w:bottom w:val="single" w:color="auto" w:sz="4" w:space="0"/>
              <w:right w:val="single" w:color="auto" w:sz="4" w:space="0"/>
            </w:tcBorders>
            <w:noWrap w:val="0"/>
            <w:vAlign w:val="top"/>
          </w:tcPr>
          <w:p w14:paraId="4F428C02">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逾期交工违约金：</w:t>
            </w:r>
            <w:r>
              <w:rPr>
                <w:rFonts w:hint="eastAsia" w:ascii="仿宋" w:hAnsi="仿宋" w:eastAsia="仿宋" w:cs="仿宋"/>
                <w:color w:val="auto"/>
                <w:highlight w:val="none"/>
                <w:u w:val="single"/>
              </w:rPr>
              <w:t>5000</w:t>
            </w:r>
            <w:r>
              <w:rPr>
                <w:rFonts w:hint="eastAsia" w:ascii="仿宋" w:hAnsi="仿宋" w:eastAsia="仿宋" w:cs="仿宋"/>
                <w:color w:val="auto"/>
                <w:highlight w:val="none"/>
              </w:rPr>
              <w:t>元/天</w:t>
            </w:r>
          </w:p>
        </w:tc>
      </w:tr>
      <w:tr w14:paraId="3364B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0BAB9918">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10</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1677FCA4">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11.5</w:t>
            </w:r>
          </w:p>
        </w:tc>
        <w:tc>
          <w:tcPr>
            <w:tcW w:w="7007" w:type="dxa"/>
            <w:tcBorders>
              <w:top w:val="single" w:color="auto" w:sz="4" w:space="0"/>
              <w:left w:val="single" w:color="auto" w:sz="4" w:space="0"/>
              <w:bottom w:val="single" w:color="auto" w:sz="4" w:space="0"/>
              <w:right w:val="single" w:color="auto" w:sz="4" w:space="0"/>
            </w:tcBorders>
            <w:noWrap w:val="0"/>
            <w:vAlign w:val="top"/>
          </w:tcPr>
          <w:p w14:paraId="600EC964">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逾期交工违约金限额：</w:t>
            </w:r>
            <w:r>
              <w:rPr>
                <w:rFonts w:hint="eastAsia" w:ascii="仿宋" w:hAnsi="仿宋" w:eastAsia="仿宋" w:cs="仿宋"/>
                <w:color w:val="auto"/>
                <w:highlight w:val="none"/>
                <w:u w:val="single"/>
              </w:rPr>
              <w:t xml:space="preserve">10 </w:t>
            </w:r>
            <w:r>
              <w:rPr>
                <w:rFonts w:hint="eastAsia" w:ascii="仿宋" w:hAnsi="仿宋" w:eastAsia="仿宋" w:cs="仿宋"/>
                <w:color w:val="auto"/>
                <w:highlight w:val="none"/>
              </w:rPr>
              <w:t>%签约合同价</w:t>
            </w:r>
          </w:p>
        </w:tc>
      </w:tr>
      <w:tr w14:paraId="64C0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315DD1AB">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11</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0BAF53FD">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11.6</w:t>
            </w:r>
          </w:p>
        </w:tc>
        <w:tc>
          <w:tcPr>
            <w:tcW w:w="7007" w:type="dxa"/>
            <w:tcBorders>
              <w:top w:val="single" w:color="auto" w:sz="4" w:space="0"/>
              <w:left w:val="single" w:color="auto" w:sz="4" w:space="0"/>
              <w:bottom w:val="single" w:color="auto" w:sz="4" w:space="0"/>
              <w:right w:val="single" w:color="auto" w:sz="4" w:space="0"/>
            </w:tcBorders>
            <w:noWrap w:val="0"/>
            <w:vAlign w:val="top"/>
          </w:tcPr>
          <w:p w14:paraId="5B264E0B">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提前交工的奖金：</w:t>
            </w:r>
            <w:r>
              <w:rPr>
                <w:rFonts w:hint="eastAsia" w:ascii="仿宋" w:hAnsi="仿宋" w:eastAsia="仿宋" w:cs="仿宋"/>
                <w:color w:val="auto"/>
                <w:highlight w:val="none"/>
                <w:u w:val="single"/>
              </w:rPr>
              <w:t>500</w:t>
            </w:r>
            <w:r>
              <w:rPr>
                <w:rFonts w:hint="eastAsia" w:ascii="仿宋" w:hAnsi="仿宋" w:eastAsia="仿宋" w:cs="仿宋"/>
                <w:color w:val="auto"/>
                <w:highlight w:val="none"/>
              </w:rPr>
              <w:t>元/天</w:t>
            </w:r>
          </w:p>
        </w:tc>
      </w:tr>
      <w:tr w14:paraId="39E49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5F12C30D">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12</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5D89ABB2">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11.6</w:t>
            </w:r>
          </w:p>
        </w:tc>
        <w:tc>
          <w:tcPr>
            <w:tcW w:w="7007" w:type="dxa"/>
            <w:tcBorders>
              <w:top w:val="single" w:color="auto" w:sz="4" w:space="0"/>
              <w:left w:val="single" w:color="auto" w:sz="4" w:space="0"/>
              <w:bottom w:val="single" w:color="auto" w:sz="4" w:space="0"/>
              <w:right w:val="single" w:color="auto" w:sz="4" w:space="0"/>
            </w:tcBorders>
            <w:noWrap w:val="0"/>
            <w:vAlign w:val="top"/>
          </w:tcPr>
          <w:p w14:paraId="73B1D7AB">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提前交工的奖金限额：</w:t>
            </w:r>
            <w:r>
              <w:rPr>
                <w:rFonts w:hint="eastAsia" w:ascii="仿宋" w:hAnsi="仿宋" w:eastAsia="仿宋" w:cs="仿宋"/>
                <w:color w:val="auto"/>
                <w:highlight w:val="none"/>
                <w:u w:val="single"/>
              </w:rPr>
              <w:t>1</w:t>
            </w:r>
            <w:r>
              <w:rPr>
                <w:rFonts w:hint="eastAsia" w:ascii="仿宋" w:hAnsi="仿宋" w:eastAsia="仿宋" w:cs="仿宋"/>
                <w:color w:val="auto"/>
                <w:highlight w:val="none"/>
              </w:rPr>
              <w:t>%签约合同价</w:t>
            </w:r>
          </w:p>
        </w:tc>
      </w:tr>
      <w:tr w14:paraId="0D69B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2877E42F">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13</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2421CBC7">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15.5.2</w:t>
            </w:r>
          </w:p>
        </w:tc>
        <w:tc>
          <w:tcPr>
            <w:tcW w:w="7007" w:type="dxa"/>
            <w:tcBorders>
              <w:top w:val="single" w:color="auto" w:sz="4" w:space="0"/>
              <w:left w:val="single" w:color="auto" w:sz="4" w:space="0"/>
              <w:bottom w:val="single" w:color="auto" w:sz="4" w:space="0"/>
              <w:right w:val="single" w:color="auto" w:sz="4" w:space="0"/>
            </w:tcBorders>
            <w:noWrap w:val="0"/>
            <w:vAlign w:val="top"/>
          </w:tcPr>
          <w:p w14:paraId="5AF15E9F">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承包人提出的合理化建议降低了合同价格或者提高了工程经济效益的，发包人按所节约成本的</w:t>
            </w:r>
            <w:r>
              <w:rPr>
                <w:rFonts w:hint="eastAsia" w:ascii="仿宋" w:hAnsi="仿宋" w:eastAsia="仿宋" w:cs="仿宋"/>
                <w:color w:val="auto"/>
                <w:highlight w:val="none"/>
                <w:u w:val="single"/>
              </w:rPr>
              <w:t>30</w:t>
            </w:r>
            <w:r>
              <w:rPr>
                <w:rFonts w:hint="eastAsia" w:ascii="仿宋" w:hAnsi="仿宋" w:eastAsia="仿宋" w:cs="仿宋"/>
                <w:color w:val="auto"/>
                <w:highlight w:val="none"/>
              </w:rPr>
              <w:t>%或增加收益的</w:t>
            </w:r>
            <w:r>
              <w:rPr>
                <w:rFonts w:hint="eastAsia" w:ascii="仿宋" w:hAnsi="仿宋" w:eastAsia="仿宋" w:cs="仿宋"/>
                <w:color w:val="auto"/>
                <w:highlight w:val="none"/>
                <w:u w:val="single"/>
              </w:rPr>
              <w:t xml:space="preserve">30 </w:t>
            </w:r>
            <w:r>
              <w:rPr>
                <w:rFonts w:hint="eastAsia" w:ascii="仿宋" w:hAnsi="仿宋" w:eastAsia="仿宋" w:cs="仿宋"/>
                <w:color w:val="auto"/>
                <w:highlight w:val="none"/>
              </w:rPr>
              <w:t>%给予奖励</w:t>
            </w:r>
          </w:p>
        </w:tc>
      </w:tr>
      <w:tr w14:paraId="46211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2AB434EA">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14</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3F3F9F2B">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16.1</w:t>
            </w:r>
          </w:p>
        </w:tc>
        <w:tc>
          <w:tcPr>
            <w:tcW w:w="7007" w:type="dxa"/>
            <w:tcBorders>
              <w:top w:val="single" w:color="auto" w:sz="4" w:space="0"/>
              <w:left w:val="single" w:color="auto" w:sz="4" w:space="0"/>
              <w:bottom w:val="single" w:color="auto" w:sz="4" w:space="0"/>
              <w:right w:val="single" w:color="auto" w:sz="4" w:space="0"/>
            </w:tcBorders>
            <w:noWrap w:val="0"/>
            <w:vAlign w:val="top"/>
          </w:tcPr>
          <w:p w14:paraId="27381651">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合同期内不调价</w:t>
            </w:r>
          </w:p>
        </w:tc>
      </w:tr>
      <w:tr w14:paraId="0343F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5D31A66E">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15</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078E7290">
            <w:pPr>
              <w:spacing w:line="400" w:lineRule="exact"/>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rPr>
              <w:t>17.2.1</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lang w:eastAsia="zh-CN"/>
              </w:rPr>
              <w:t>）</w:t>
            </w:r>
          </w:p>
        </w:tc>
        <w:tc>
          <w:tcPr>
            <w:tcW w:w="7007" w:type="dxa"/>
            <w:tcBorders>
              <w:top w:val="single" w:color="auto" w:sz="4" w:space="0"/>
              <w:left w:val="single" w:color="auto" w:sz="4" w:space="0"/>
              <w:bottom w:val="single" w:color="auto" w:sz="4" w:space="0"/>
              <w:right w:val="single" w:color="auto" w:sz="4" w:space="0"/>
            </w:tcBorders>
            <w:noWrap w:val="0"/>
            <w:vAlign w:val="center"/>
          </w:tcPr>
          <w:p w14:paraId="2ED31126">
            <w:pPr>
              <w:spacing w:line="400" w:lineRule="exact"/>
              <w:jc w:val="both"/>
              <w:rPr>
                <w:rFonts w:hint="eastAsia" w:ascii="仿宋" w:hAnsi="仿宋" w:eastAsia="仿宋" w:cs="仿宋"/>
                <w:color w:val="auto"/>
                <w:highlight w:val="none"/>
              </w:rPr>
            </w:pPr>
            <w:r>
              <w:rPr>
                <w:rFonts w:hint="eastAsia" w:ascii="仿宋" w:hAnsi="仿宋" w:eastAsia="仿宋" w:cs="仿宋"/>
                <w:color w:val="auto"/>
                <w:highlight w:val="none"/>
              </w:rPr>
              <w:t>开工预付款金额：</w:t>
            </w:r>
            <w:r>
              <w:rPr>
                <w:rFonts w:hint="eastAsia" w:ascii="仿宋" w:hAnsi="仿宋" w:eastAsia="仿宋" w:cs="仿宋"/>
                <w:color w:val="auto"/>
                <w:highlight w:val="none"/>
                <w:u w:val="single"/>
                <w:lang w:val="en-US" w:eastAsia="zh-CN"/>
              </w:rPr>
              <w:t>30</w:t>
            </w:r>
            <w:r>
              <w:rPr>
                <w:rFonts w:hint="eastAsia" w:ascii="仿宋" w:hAnsi="仿宋" w:eastAsia="仿宋" w:cs="仿宋"/>
                <w:color w:val="auto"/>
                <w:highlight w:val="none"/>
              </w:rPr>
              <w:t>%签约合同价</w:t>
            </w:r>
          </w:p>
        </w:tc>
      </w:tr>
      <w:tr w14:paraId="63590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1CF68008">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16</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1F53E206">
            <w:pPr>
              <w:spacing w:line="400" w:lineRule="exact"/>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rPr>
              <w:t>17.2.1</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lang w:eastAsia="zh-CN"/>
              </w:rPr>
              <w:t>）</w:t>
            </w:r>
          </w:p>
        </w:tc>
        <w:tc>
          <w:tcPr>
            <w:tcW w:w="7007" w:type="dxa"/>
            <w:tcBorders>
              <w:top w:val="single" w:color="auto" w:sz="4" w:space="0"/>
              <w:left w:val="single" w:color="auto" w:sz="4" w:space="0"/>
              <w:bottom w:val="single" w:color="auto" w:sz="4" w:space="0"/>
              <w:right w:val="single" w:color="auto" w:sz="4" w:space="0"/>
            </w:tcBorders>
            <w:noWrap w:val="0"/>
            <w:vAlign w:val="center"/>
          </w:tcPr>
          <w:p w14:paraId="5E342BD6">
            <w:pPr>
              <w:spacing w:line="400" w:lineRule="exact"/>
              <w:jc w:val="both"/>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材料、设备预付款比例：</w:t>
            </w:r>
            <w:r>
              <w:rPr>
                <w:rFonts w:hint="eastAsia" w:ascii="仿宋" w:hAnsi="仿宋" w:eastAsia="仿宋" w:cs="仿宋"/>
                <w:color w:val="auto"/>
                <w:highlight w:val="none"/>
                <w:lang w:eastAsia="zh-CN"/>
              </w:rPr>
              <w:t>主要材料、设备单据所列费用的</w:t>
            </w:r>
            <w:r>
              <w:rPr>
                <w:rFonts w:hint="eastAsia" w:ascii="仿宋" w:hAnsi="仿宋" w:eastAsia="仿宋" w:cs="仿宋"/>
                <w:color w:val="auto"/>
                <w:highlight w:val="none"/>
                <w:lang w:val="en-US" w:eastAsia="zh-CN"/>
              </w:rPr>
              <w:t xml:space="preserve">60% </w:t>
            </w:r>
          </w:p>
        </w:tc>
      </w:tr>
      <w:tr w14:paraId="549E6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1443E7DB">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17</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522E0282">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17.3.2</w:t>
            </w:r>
          </w:p>
        </w:tc>
        <w:tc>
          <w:tcPr>
            <w:tcW w:w="7007" w:type="dxa"/>
            <w:tcBorders>
              <w:top w:val="single" w:color="auto" w:sz="4" w:space="0"/>
              <w:left w:val="single" w:color="auto" w:sz="4" w:space="0"/>
              <w:bottom w:val="single" w:color="auto" w:sz="4" w:space="0"/>
              <w:right w:val="single" w:color="auto" w:sz="4" w:space="0"/>
            </w:tcBorders>
            <w:noWrap w:val="0"/>
            <w:vAlign w:val="top"/>
          </w:tcPr>
          <w:p w14:paraId="4491F2FB">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承包人在每个付款周期末向监理人提交进度付款申请单的份数：6份 </w:t>
            </w:r>
          </w:p>
        </w:tc>
      </w:tr>
      <w:tr w14:paraId="0D78F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4012B488">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18</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73C25D4E">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17.3.3</w:t>
            </w:r>
          </w:p>
        </w:tc>
        <w:tc>
          <w:tcPr>
            <w:tcW w:w="7007" w:type="dxa"/>
            <w:tcBorders>
              <w:top w:val="single" w:color="auto" w:sz="4" w:space="0"/>
              <w:left w:val="single" w:color="auto" w:sz="4" w:space="0"/>
              <w:bottom w:val="single" w:color="auto" w:sz="4" w:space="0"/>
              <w:right w:val="single" w:color="auto" w:sz="4" w:space="0"/>
            </w:tcBorders>
            <w:noWrap w:val="0"/>
            <w:vAlign w:val="top"/>
          </w:tcPr>
          <w:p w14:paraId="7E1643EE">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进度付款证书最低限额：</w:t>
            </w:r>
            <w:r>
              <w:rPr>
                <w:rFonts w:hint="eastAsia" w:ascii="仿宋" w:hAnsi="仿宋" w:eastAsia="仿宋" w:cs="仿宋"/>
                <w:color w:val="auto"/>
                <w:highlight w:val="none"/>
                <w:u w:val="single"/>
              </w:rPr>
              <w:t>5</w:t>
            </w:r>
            <w:r>
              <w:rPr>
                <w:rFonts w:hint="eastAsia" w:ascii="仿宋" w:hAnsi="仿宋" w:eastAsia="仿宋" w:cs="仿宋"/>
                <w:color w:val="auto"/>
                <w:highlight w:val="none"/>
              </w:rPr>
              <w:t>%签约合同价。</w:t>
            </w:r>
          </w:p>
        </w:tc>
      </w:tr>
      <w:tr w14:paraId="13CE8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393BBF55">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19</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6905C1A3">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17.3.3（2）</w:t>
            </w:r>
          </w:p>
        </w:tc>
        <w:tc>
          <w:tcPr>
            <w:tcW w:w="7007" w:type="dxa"/>
            <w:tcBorders>
              <w:top w:val="single" w:color="auto" w:sz="4" w:space="0"/>
              <w:left w:val="single" w:color="auto" w:sz="4" w:space="0"/>
              <w:bottom w:val="single" w:color="auto" w:sz="4" w:space="0"/>
              <w:right w:val="single" w:color="auto" w:sz="4" w:space="0"/>
            </w:tcBorders>
            <w:noWrap w:val="0"/>
            <w:vAlign w:val="center"/>
          </w:tcPr>
          <w:p w14:paraId="0E57C66B">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逾期付款违约金的利率：</w:t>
            </w:r>
            <w:r>
              <w:rPr>
                <w:rFonts w:hint="eastAsia" w:ascii="仿宋" w:hAnsi="仿宋" w:eastAsia="仿宋" w:cs="仿宋"/>
                <w:color w:val="auto"/>
                <w:highlight w:val="none"/>
                <w:u w:val="single"/>
              </w:rPr>
              <w:t>0.15</w:t>
            </w:r>
            <w:r>
              <w:rPr>
                <w:rFonts w:hint="eastAsia" w:ascii="仿宋" w:hAnsi="仿宋" w:eastAsia="仿宋" w:cs="仿宋"/>
                <w:color w:val="auto"/>
                <w:highlight w:val="none"/>
              </w:rPr>
              <w:t>‰</w:t>
            </w:r>
          </w:p>
        </w:tc>
      </w:tr>
      <w:tr w14:paraId="36F51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2FB841E0">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20</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7E082E2F">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17.4.1</w:t>
            </w:r>
          </w:p>
        </w:tc>
        <w:tc>
          <w:tcPr>
            <w:tcW w:w="7007" w:type="dxa"/>
            <w:tcBorders>
              <w:top w:val="single" w:color="auto" w:sz="4" w:space="0"/>
              <w:left w:val="single" w:color="auto" w:sz="4" w:space="0"/>
              <w:bottom w:val="single" w:color="auto" w:sz="4" w:space="0"/>
              <w:right w:val="single" w:color="auto" w:sz="4" w:space="0"/>
            </w:tcBorders>
            <w:noWrap w:val="0"/>
            <w:vAlign w:val="center"/>
          </w:tcPr>
          <w:p w14:paraId="4A327BF4">
            <w:pPr>
              <w:spacing w:line="400" w:lineRule="exact"/>
              <w:rPr>
                <w:rFonts w:hint="eastAsia" w:ascii="仿宋" w:hAnsi="仿宋" w:eastAsia="仿宋" w:cs="仿宋"/>
                <w:color w:val="auto"/>
                <w:highlight w:val="none"/>
                <w:lang w:eastAsia="zh-CN"/>
              </w:rPr>
            </w:pPr>
            <w:r>
              <w:rPr>
                <w:rFonts w:hint="eastAsia" w:ascii="仿宋" w:hAnsi="仿宋" w:eastAsia="仿宋" w:cs="仿宋"/>
                <w:color w:val="auto"/>
                <w:highlight w:val="none"/>
              </w:rPr>
              <w:t>质量保证金百分比：月支付额的</w:t>
            </w:r>
            <w:r>
              <w:rPr>
                <w:rFonts w:hint="eastAsia" w:ascii="仿宋" w:hAnsi="仿宋" w:eastAsia="仿宋" w:cs="仿宋"/>
                <w:color w:val="auto"/>
                <w:highlight w:val="none"/>
                <w:u w:val="single"/>
                <w:lang w:val="en-US" w:eastAsia="zh-CN"/>
              </w:rPr>
              <w:t>/</w:t>
            </w:r>
          </w:p>
        </w:tc>
      </w:tr>
      <w:tr w14:paraId="39716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7"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60EE18CB">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21</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743B2E62">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17.4.1</w:t>
            </w:r>
          </w:p>
        </w:tc>
        <w:tc>
          <w:tcPr>
            <w:tcW w:w="7007" w:type="dxa"/>
            <w:tcBorders>
              <w:top w:val="single" w:color="auto" w:sz="4" w:space="0"/>
              <w:left w:val="single" w:color="auto" w:sz="4" w:space="0"/>
              <w:bottom w:val="single" w:color="auto" w:sz="4" w:space="0"/>
              <w:right w:val="single" w:color="auto" w:sz="4" w:space="0"/>
            </w:tcBorders>
            <w:noWrap w:val="0"/>
            <w:vAlign w:val="center"/>
          </w:tcPr>
          <w:p w14:paraId="60B7F241">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质量保证金限额：</w:t>
            </w:r>
            <w:r>
              <w:rPr>
                <w:rFonts w:hint="eastAsia" w:ascii="仿宋" w:hAnsi="仿宋" w:eastAsia="仿宋" w:cs="仿宋"/>
                <w:color w:val="auto"/>
                <w:highlight w:val="none"/>
                <w:u w:val="single"/>
                <w:lang w:val="en-US" w:eastAsia="zh-CN"/>
              </w:rPr>
              <w:t>/</w:t>
            </w:r>
            <w:r>
              <w:rPr>
                <w:rFonts w:hint="eastAsia" w:ascii="仿宋" w:hAnsi="仿宋" w:eastAsia="仿宋" w:cs="仿宋"/>
                <w:color w:val="auto"/>
                <w:highlight w:val="none"/>
              </w:rPr>
              <w:t>。</w:t>
            </w:r>
          </w:p>
        </w:tc>
      </w:tr>
      <w:tr w14:paraId="1D95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7FFDEAAD">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22</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3CCA4F36">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17.5.1</w:t>
            </w:r>
          </w:p>
        </w:tc>
        <w:tc>
          <w:tcPr>
            <w:tcW w:w="7007" w:type="dxa"/>
            <w:tcBorders>
              <w:top w:val="single" w:color="auto" w:sz="4" w:space="0"/>
              <w:left w:val="single" w:color="auto" w:sz="4" w:space="0"/>
              <w:bottom w:val="single" w:color="auto" w:sz="4" w:space="0"/>
              <w:right w:val="single" w:color="auto" w:sz="4" w:space="0"/>
            </w:tcBorders>
            <w:noWrap w:val="0"/>
            <w:vAlign w:val="center"/>
          </w:tcPr>
          <w:p w14:paraId="134302A0">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承包人向监理人提交交工付款申请单（包括相关证明材料）的份数：</w:t>
            </w:r>
            <w:r>
              <w:rPr>
                <w:rFonts w:hint="eastAsia" w:ascii="仿宋" w:hAnsi="仿宋" w:eastAsia="仿宋" w:cs="仿宋"/>
                <w:color w:val="auto"/>
                <w:highlight w:val="none"/>
                <w:u w:val="single"/>
              </w:rPr>
              <w:t>6</w:t>
            </w:r>
            <w:r>
              <w:rPr>
                <w:rFonts w:hint="eastAsia" w:ascii="仿宋" w:hAnsi="仿宋" w:eastAsia="仿宋" w:cs="仿宋"/>
                <w:color w:val="auto"/>
                <w:highlight w:val="none"/>
              </w:rPr>
              <w:t>份</w:t>
            </w:r>
          </w:p>
        </w:tc>
      </w:tr>
      <w:tr w14:paraId="2D7EF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30EB2758">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23</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5EC28574">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17.6.1</w:t>
            </w:r>
          </w:p>
        </w:tc>
        <w:tc>
          <w:tcPr>
            <w:tcW w:w="7007" w:type="dxa"/>
            <w:tcBorders>
              <w:top w:val="single" w:color="auto" w:sz="4" w:space="0"/>
              <w:left w:val="single" w:color="auto" w:sz="4" w:space="0"/>
              <w:bottom w:val="single" w:color="auto" w:sz="4" w:space="0"/>
              <w:right w:val="single" w:color="auto" w:sz="4" w:space="0"/>
            </w:tcBorders>
            <w:noWrap w:val="0"/>
            <w:vAlign w:val="center"/>
          </w:tcPr>
          <w:p w14:paraId="650C3956">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承包人向监理人提交最终结清申请单（包括相关证明材料）的份数：</w:t>
            </w:r>
            <w:r>
              <w:rPr>
                <w:rFonts w:hint="eastAsia" w:ascii="仿宋" w:hAnsi="仿宋" w:eastAsia="仿宋" w:cs="仿宋"/>
                <w:color w:val="auto"/>
                <w:highlight w:val="none"/>
                <w:u w:val="single"/>
              </w:rPr>
              <w:t>6</w:t>
            </w:r>
            <w:r>
              <w:rPr>
                <w:rFonts w:hint="eastAsia" w:ascii="仿宋" w:hAnsi="仿宋" w:eastAsia="仿宋" w:cs="仿宋"/>
                <w:color w:val="auto"/>
                <w:highlight w:val="none"/>
              </w:rPr>
              <w:t>份</w:t>
            </w:r>
          </w:p>
        </w:tc>
      </w:tr>
      <w:tr w14:paraId="34A09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7EA11309">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24</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6ABFB2A5">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18.2</w:t>
            </w:r>
          </w:p>
        </w:tc>
        <w:tc>
          <w:tcPr>
            <w:tcW w:w="7007" w:type="dxa"/>
            <w:tcBorders>
              <w:top w:val="single" w:color="auto" w:sz="4" w:space="0"/>
              <w:left w:val="single" w:color="auto" w:sz="4" w:space="0"/>
              <w:bottom w:val="single" w:color="auto" w:sz="4" w:space="0"/>
              <w:right w:val="single" w:color="auto" w:sz="4" w:space="0"/>
            </w:tcBorders>
            <w:noWrap w:val="0"/>
            <w:vAlign w:val="center"/>
          </w:tcPr>
          <w:p w14:paraId="3181091A">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竣工资料的份数：</w:t>
            </w:r>
            <w:r>
              <w:rPr>
                <w:rFonts w:hint="eastAsia" w:ascii="仿宋" w:hAnsi="仿宋" w:eastAsia="仿宋" w:cs="仿宋"/>
                <w:color w:val="auto"/>
                <w:highlight w:val="none"/>
                <w:u w:val="single"/>
              </w:rPr>
              <w:t>2</w:t>
            </w:r>
            <w:r>
              <w:rPr>
                <w:rFonts w:hint="eastAsia" w:ascii="仿宋" w:hAnsi="仿宋" w:eastAsia="仿宋" w:cs="仿宋"/>
                <w:color w:val="auto"/>
                <w:highlight w:val="none"/>
              </w:rPr>
              <w:t>份</w:t>
            </w:r>
          </w:p>
        </w:tc>
      </w:tr>
      <w:tr w14:paraId="1D976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138E37E8">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25</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1A36B58D">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18.5.1</w:t>
            </w:r>
          </w:p>
        </w:tc>
        <w:tc>
          <w:tcPr>
            <w:tcW w:w="7007" w:type="dxa"/>
            <w:tcBorders>
              <w:top w:val="single" w:color="auto" w:sz="4" w:space="0"/>
              <w:left w:val="single" w:color="auto" w:sz="4" w:space="0"/>
              <w:bottom w:val="single" w:color="auto" w:sz="4" w:space="0"/>
              <w:right w:val="single" w:color="auto" w:sz="4" w:space="0"/>
            </w:tcBorders>
            <w:noWrap w:val="0"/>
            <w:vAlign w:val="center"/>
          </w:tcPr>
          <w:p w14:paraId="2E518762">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单位工程或工程设备是否需投入施工期运行：</w:t>
            </w:r>
            <w:r>
              <w:rPr>
                <w:rFonts w:hint="eastAsia" w:ascii="仿宋" w:hAnsi="仿宋" w:eastAsia="仿宋" w:cs="仿宋"/>
                <w:color w:val="auto"/>
                <w:highlight w:val="none"/>
                <w:u w:val="single"/>
              </w:rPr>
              <w:t>否</w:t>
            </w:r>
          </w:p>
        </w:tc>
      </w:tr>
      <w:tr w14:paraId="1C83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7FE05039">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26</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426521D2">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18.6.1</w:t>
            </w:r>
          </w:p>
        </w:tc>
        <w:tc>
          <w:tcPr>
            <w:tcW w:w="7007" w:type="dxa"/>
            <w:tcBorders>
              <w:top w:val="single" w:color="auto" w:sz="4" w:space="0"/>
              <w:left w:val="single" w:color="auto" w:sz="4" w:space="0"/>
              <w:bottom w:val="single" w:color="auto" w:sz="4" w:space="0"/>
              <w:right w:val="single" w:color="auto" w:sz="4" w:space="0"/>
            </w:tcBorders>
            <w:noWrap w:val="0"/>
            <w:vAlign w:val="center"/>
          </w:tcPr>
          <w:p w14:paraId="64053FC3">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本工程及工程设备是否进行试运行：</w:t>
            </w:r>
            <w:r>
              <w:rPr>
                <w:rFonts w:hint="eastAsia" w:ascii="仿宋" w:hAnsi="仿宋" w:eastAsia="仿宋" w:cs="仿宋"/>
                <w:color w:val="auto"/>
                <w:highlight w:val="none"/>
                <w:u w:val="single"/>
              </w:rPr>
              <w:t>否</w:t>
            </w:r>
          </w:p>
        </w:tc>
      </w:tr>
      <w:tr w14:paraId="2342F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426DF9D3">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27</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78147539">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19.7</w:t>
            </w:r>
          </w:p>
        </w:tc>
        <w:tc>
          <w:tcPr>
            <w:tcW w:w="7007" w:type="dxa"/>
            <w:tcBorders>
              <w:top w:val="single" w:color="auto" w:sz="4" w:space="0"/>
              <w:left w:val="single" w:color="auto" w:sz="4" w:space="0"/>
              <w:bottom w:val="single" w:color="auto" w:sz="4" w:space="0"/>
              <w:right w:val="single" w:color="auto" w:sz="4" w:space="0"/>
            </w:tcBorders>
            <w:noWrap w:val="0"/>
            <w:vAlign w:val="center"/>
          </w:tcPr>
          <w:p w14:paraId="16310408">
            <w:pPr>
              <w:spacing w:line="400" w:lineRule="exact"/>
              <w:rPr>
                <w:rFonts w:hint="eastAsia" w:ascii="仿宋" w:hAnsi="仿宋" w:eastAsia="仿宋" w:cs="仿宋"/>
                <w:color w:val="auto"/>
                <w:highlight w:val="none"/>
                <w:lang w:eastAsia="zh-CN"/>
              </w:rPr>
            </w:pPr>
            <w:r>
              <w:rPr>
                <w:rFonts w:hint="eastAsia" w:ascii="仿宋" w:hAnsi="仿宋" w:eastAsia="仿宋" w:cs="仿宋"/>
                <w:color w:val="auto"/>
                <w:highlight w:val="none"/>
              </w:rPr>
              <w:t>保修期：</w:t>
            </w:r>
            <w:r>
              <w:rPr>
                <w:rFonts w:hint="eastAsia" w:ascii="仿宋" w:hAnsi="仿宋" w:eastAsia="仿宋" w:cs="仿宋"/>
                <w:color w:val="auto"/>
                <w:highlight w:val="none"/>
                <w:lang w:val="en-US" w:eastAsia="zh-CN"/>
              </w:rPr>
              <w:t>/</w:t>
            </w:r>
          </w:p>
        </w:tc>
      </w:tr>
      <w:tr w14:paraId="6C100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239CAC22">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28</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5B986E02">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20.1</w:t>
            </w:r>
          </w:p>
        </w:tc>
        <w:tc>
          <w:tcPr>
            <w:tcW w:w="7007" w:type="dxa"/>
            <w:tcBorders>
              <w:top w:val="single" w:color="auto" w:sz="4" w:space="0"/>
              <w:left w:val="single" w:color="auto" w:sz="4" w:space="0"/>
              <w:bottom w:val="single" w:color="auto" w:sz="4" w:space="0"/>
              <w:right w:val="single" w:color="auto" w:sz="4" w:space="0"/>
            </w:tcBorders>
            <w:noWrap w:val="0"/>
            <w:vAlign w:val="center"/>
          </w:tcPr>
          <w:p w14:paraId="60636342">
            <w:pPr>
              <w:spacing w:line="400" w:lineRule="exact"/>
              <w:jc w:val="left"/>
              <w:rPr>
                <w:rFonts w:hint="eastAsia" w:ascii="仿宋" w:hAnsi="仿宋" w:eastAsia="仿宋" w:cs="仿宋"/>
                <w:color w:val="auto"/>
                <w:highlight w:val="none"/>
              </w:rPr>
            </w:pPr>
            <w:r>
              <w:rPr>
                <w:rFonts w:hint="eastAsia" w:ascii="仿宋" w:hAnsi="仿宋" w:eastAsia="仿宋" w:cs="仿宋"/>
                <w:color w:val="auto"/>
                <w:highlight w:val="none"/>
              </w:rPr>
              <w:t>工程一切险由投标人自行考虑是否投保，业主不承担由于投标人无论是否投保引起的任何责任和费用。</w:t>
            </w:r>
          </w:p>
        </w:tc>
      </w:tr>
      <w:tr w14:paraId="25677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0F1BE8A0">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29</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56F60173">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20.4.2</w:t>
            </w:r>
          </w:p>
        </w:tc>
        <w:tc>
          <w:tcPr>
            <w:tcW w:w="7007" w:type="dxa"/>
            <w:tcBorders>
              <w:top w:val="single" w:color="auto" w:sz="4" w:space="0"/>
              <w:left w:val="single" w:color="auto" w:sz="4" w:space="0"/>
              <w:bottom w:val="single" w:color="auto" w:sz="4" w:space="0"/>
              <w:right w:val="single" w:color="auto" w:sz="4" w:space="0"/>
            </w:tcBorders>
            <w:noWrap w:val="0"/>
            <w:vAlign w:val="center"/>
          </w:tcPr>
          <w:p w14:paraId="52176B6F">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第三者责任险由投标人自行考虑是否投保，业主不承担由于投标人无论是</w:t>
            </w:r>
          </w:p>
          <w:p w14:paraId="17075C3A">
            <w:pPr>
              <w:spacing w:line="400" w:lineRule="exact"/>
              <w:rPr>
                <w:rFonts w:hint="eastAsia" w:ascii="仿宋" w:hAnsi="仿宋" w:eastAsia="仿宋" w:cs="仿宋"/>
                <w:color w:val="auto"/>
                <w:highlight w:val="none"/>
              </w:rPr>
            </w:pPr>
            <w:r>
              <w:rPr>
                <w:rFonts w:hint="eastAsia" w:ascii="仿宋" w:hAnsi="仿宋" w:eastAsia="仿宋" w:cs="仿宋"/>
                <w:color w:val="auto"/>
                <w:highlight w:val="none"/>
              </w:rPr>
              <w:t>否投保引起的任何责任和费用。</w:t>
            </w:r>
          </w:p>
        </w:tc>
      </w:tr>
      <w:tr w14:paraId="31E7C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834" w:type="dxa"/>
            <w:tcBorders>
              <w:top w:val="single" w:color="auto" w:sz="4" w:space="0"/>
              <w:left w:val="single" w:color="auto" w:sz="4" w:space="0"/>
              <w:bottom w:val="single" w:color="auto" w:sz="4" w:space="0"/>
              <w:right w:val="single" w:color="auto" w:sz="4" w:space="0"/>
            </w:tcBorders>
            <w:noWrap w:val="0"/>
            <w:vAlign w:val="center"/>
          </w:tcPr>
          <w:p w14:paraId="05A28477">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30</w:t>
            </w:r>
          </w:p>
        </w:tc>
        <w:tc>
          <w:tcPr>
            <w:tcW w:w="1087" w:type="dxa"/>
            <w:tcBorders>
              <w:top w:val="single" w:color="auto" w:sz="4" w:space="0"/>
              <w:left w:val="single" w:color="auto" w:sz="4" w:space="0"/>
              <w:bottom w:val="single" w:color="auto" w:sz="4" w:space="0"/>
              <w:right w:val="single" w:color="auto" w:sz="4" w:space="0"/>
            </w:tcBorders>
            <w:noWrap w:val="0"/>
            <w:vAlign w:val="center"/>
          </w:tcPr>
          <w:p w14:paraId="03A684A2">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24.1</w:t>
            </w:r>
          </w:p>
        </w:tc>
        <w:tc>
          <w:tcPr>
            <w:tcW w:w="7007" w:type="dxa"/>
            <w:tcBorders>
              <w:top w:val="single" w:color="auto" w:sz="4" w:space="0"/>
              <w:left w:val="single" w:color="auto" w:sz="4" w:space="0"/>
              <w:bottom w:val="single" w:color="auto" w:sz="4" w:space="0"/>
              <w:right w:val="single" w:color="auto" w:sz="4" w:space="0"/>
            </w:tcBorders>
            <w:noWrap w:val="0"/>
            <w:vAlign w:val="center"/>
          </w:tcPr>
          <w:p w14:paraId="436188E5">
            <w:pPr>
              <w:spacing w:line="400" w:lineRule="exact"/>
              <w:rPr>
                <w:rFonts w:hint="eastAsia" w:ascii="仿宋" w:hAnsi="仿宋" w:eastAsia="仿宋" w:cs="仿宋"/>
                <w:color w:val="auto"/>
                <w:highlight w:val="none"/>
                <w:u w:val="single"/>
              </w:rPr>
            </w:pPr>
            <w:r>
              <w:rPr>
                <w:rFonts w:hint="eastAsia" w:ascii="仿宋" w:hAnsi="仿宋" w:eastAsia="仿宋" w:cs="仿宋"/>
                <w:color w:val="auto"/>
                <w:highlight w:val="none"/>
              </w:rPr>
              <w:t>争议的最终解决方式：</w:t>
            </w:r>
            <w:r>
              <w:rPr>
                <w:rFonts w:hint="eastAsia" w:ascii="仿宋" w:hAnsi="仿宋" w:eastAsia="仿宋" w:cs="仿宋"/>
                <w:color w:val="auto"/>
                <w:highlight w:val="none"/>
                <w:u w:val="single"/>
              </w:rPr>
              <w:t>仲裁</w:t>
            </w:r>
          </w:p>
          <w:p w14:paraId="6EA88B42">
            <w:pPr>
              <w:spacing w:line="400" w:lineRule="exact"/>
              <w:rPr>
                <w:rFonts w:hint="eastAsia" w:ascii="仿宋" w:hAnsi="仿宋" w:eastAsia="仿宋" w:cs="仿宋"/>
                <w:color w:val="auto"/>
                <w:highlight w:val="none"/>
                <w:u w:val="single"/>
              </w:rPr>
            </w:pPr>
            <w:r>
              <w:rPr>
                <w:rFonts w:hint="eastAsia" w:ascii="仿宋" w:hAnsi="仿宋" w:eastAsia="仿宋" w:cs="仿宋"/>
                <w:color w:val="auto"/>
                <w:highlight w:val="none"/>
              </w:rPr>
              <w:t>仲裁委员会名称：铜川市仲裁委员会</w:t>
            </w:r>
          </w:p>
        </w:tc>
      </w:tr>
    </w:tbl>
    <w:p w14:paraId="14E1EA0B">
      <w:pPr>
        <w:spacing w:line="400" w:lineRule="exact"/>
        <w:ind w:firstLine="420" w:firstLineChars="200"/>
        <w:jc w:val="center"/>
        <w:rPr>
          <w:rFonts w:hint="eastAsia" w:ascii="仿宋" w:hAnsi="仿宋" w:eastAsia="仿宋" w:cs="仿宋"/>
          <w:color w:val="auto"/>
          <w:highlight w:val="none"/>
        </w:rPr>
      </w:pPr>
    </w:p>
    <w:p w14:paraId="09109A12">
      <w:pPr>
        <w:spacing w:line="400" w:lineRule="exact"/>
        <w:ind w:firstLine="640" w:firstLineChars="200"/>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r>
        <w:rPr>
          <w:rFonts w:hint="eastAsia" w:ascii="仿宋" w:hAnsi="仿宋" w:eastAsia="仿宋" w:cs="仿宋"/>
          <w:color w:val="auto"/>
          <w:sz w:val="32"/>
          <w:szCs w:val="32"/>
          <w:highlight w:val="none"/>
        </w:rPr>
        <w:t>项目专用合同条款</w:t>
      </w:r>
    </w:p>
    <w:p w14:paraId="6F53C573">
      <w:pPr>
        <w:spacing w:line="400" w:lineRule="exact"/>
        <w:rPr>
          <w:rFonts w:hint="eastAsia" w:ascii="仿宋" w:hAnsi="仿宋" w:eastAsia="仿宋" w:cs="仿宋"/>
          <w:b/>
          <w:color w:val="auto"/>
          <w:szCs w:val="21"/>
          <w:highlight w:val="none"/>
        </w:rPr>
      </w:pPr>
    </w:p>
    <w:p w14:paraId="5BE72D7C">
      <w:pPr>
        <w:spacing w:line="400" w:lineRule="exact"/>
        <w:rPr>
          <w:rFonts w:hint="eastAsia" w:ascii="仿宋" w:hAnsi="仿宋" w:eastAsia="仿宋" w:cs="仿宋"/>
          <w:color w:val="auto"/>
          <w:highlight w:val="none"/>
        </w:rPr>
      </w:pPr>
      <w:r>
        <w:rPr>
          <w:rFonts w:hint="eastAsia" w:ascii="仿宋" w:hAnsi="仿宋" w:eastAsia="仿宋" w:cs="仿宋"/>
          <w:b/>
          <w:color w:val="auto"/>
          <w:sz w:val="28"/>
          <w:szCs w:val="28"/>
          <w:highlight w:val="none"/>
        </w:rPr>
        <w:t>说明</w:t>
      </w:r>
      <w:r>
        <w:rPr>
          <w:rFonts w:hint="eastAsia" w:ascii="仿宋" w:hAnsi="仿宋" w:eastAsia="仿宋" w:cs="仿宋"/>
          <w:color w:val="auto"/>
          <w:highlight w:val="none"/>
        </w:rPr>
        <w:t>：本部分所列的项目专用合同条款是对“公路专用合同条款”中规定必须在项目专用合同条款中明确的内容的集中，招标人编制的“项目专用合同条款”不限于本部分所列内容。</w:t>
      </w:r>
    </w:p>
    <w:p w14:paraId="02DA1B89">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项目专用合同条款是对通用合同条款和公路工程专用合同条款的补充、删改或具体化。应对照通用合同条款和公路工程专用合同条款中同一编号的条款一起阅读和理解。</w:t>
      </w:r>
    </w:p>
    <w:p w14:paraId="128159E3">
      <w:pPr>
        <w:numPr>
          <w:ilvl w:val="1"/>
          <w:numId w:val="1"/>
        </w:numPr>
        <w:spacing w:line="43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词语定义</w:t>
      </w:r>
    </w:p>
    <w:p w14:paraId="1140DE8E">
      <w:pPr>
        <w:spacing w:line="430" w:lineRule="atLeast"/>
        <w:ind w:left="420"/>
        <w:rPr>
          <w:rFonts w:hint="eastAsia" w:ascii="仿宋" w:hAnsi="仿宋" w:eastAsia="仿宋" w:cs="仿宋"/>
          <w:color w:val="auto"/>
          <w:sz w:val="24"/>
          <w:highlight w:val="none"/>
        </w:rPr>
      </w:pPr>
      <w:r>
        <w:rPr>
          <w:rFonts w:hint="eastAsia" w:ascii="仿宋" w:hAnsi="仿宋" w:eastAsia="仿宋" w:cs="仿宋"/>
          <w:color w:val="auto"/>
          <w:sz w:val="24"/>
          <w:highlight w:val="none"/>
        </w:rPr>
        <w:t>1.1.2.2 发包人：陕西省铜川公路管理局</w:t>
      </w:r>
    </w:p>
    <w:p w14:paraId="56BE72D6">
      <w:pPr>
        <w:spacing w:line="430" w:lineRule="atLeast"/>
        <w:ind w:left="42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1.1.2.6 监理人：本合同工程的监理人由发包人委托确定，并书面通知承包人。 </w:t>
      </w:r>
    </w:p>
    <w:p w14:paraId="185B24DC">
      <w:pPr>
        <w:spacing w:line="430" w:lineRule="atLeast"/>
        <w:ind w:left="420"/>
        <w:rPr>
          <w:rFonts w:hint="eastAsia" w:ascii="仿宋" w:hAnsi="仿宋" w:eastAsia="仿宋" w:cs="仿宋"/>
          <w:color w:val="auto"/>
          <w:sz w:val="24"/>
          <w:highlight w:val="none"/>
        </w:rPr>
      </w:pPr>
      <w:r>
        <w:rPr>
          <w:rFonts w:hint="eastAsia" w:ascii="仿宋" w:hAnsi="仿宋" w:eastAsia="仿宋" w:cs="仿宋"/>
          <w:color w:val="auto"/>
          <w:sz w:val="24"/>
          <w:highlight w:val="none"/>
        </w:rPr>
        <w:t>1.1.3 工程和设备</w:t>
      </w:r>
    </w:p>
    <w:p w14:paraId="1F0BB43A">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1.1.3.3 临时工程：包括承包人驻地的办公室、食堂、宿舍、道路和机械设备停放场、材料堆放场地、取弃土场、预制场、拌和场、仓库、进场临时道路、临时便道、便桥等。</w:t>
      </w:r>
    </w:p>
    <w:p w14:paraId="5C0B588D">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1.1.3.10 永久占地：见图纸</w:t>
      </w:r>
    </w:p>
    <w:p w14:paraId="630AD12F">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1.4合同文件的优先顺序：</w:t>
      </w:r>
    </w:p>
    <w:p w14:paraId="59D981B8">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（1）合同协议书及各种合同附件（含评标期间和合同谈判过程中的澄清文件和补充资料）；</w:t>
      </w:r>
    </w:p>
    <w:p w14:paraId="0D91965A">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（2）中标通知书；</w:t>
      </w:r>
    </w:p>
    <w:p w14:paraId="1D74091D">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（3）投标函及投标函附录；</w:t>
      </w:r>
    </w:p>
    <w:p w14:paraId="091BA3A4">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（4）项目专用合同条款及项目专用合同条款数据表（含招标文件补遗书中与此有关的部分）；</w:t>
      </w:r>
    </w:p>
    <w:p w14:paraId="71E75A93">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（5）公路工程专用合同条款；</w:t>
      </w:r>
    </w:p>
    <w:p w14:paraId="59A60F70">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（6）通用合同条款；</w:t>
      </w:r>
    </w:p>
    <w:p w14:paraId="0BD9B6CA">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（7）技术规范（含招标文件补遗书中与此有关的部分）；</w:t>
      </w:r>
    </w:p>
    <w:p w14:paraId="2D33445E">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（8）图纸（含招标文件补遗书中与此有关的部分）；</w:t>
      </w:r>
    </w:p>
    <w:p w14:paraId="5F7C8018">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（9）已标价工程量清单；</w:t>
      </w:r>
    </w:p>
    <w:p w14:paraId="6144A77B">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（10）承包人有关人员、设备投入的承诺及投标文件中的施工组织设计；</w:t>
      </w:r>
    </w:p>
    <w:p w14:paraId="316F8A8D">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（11）其他合同文件。</w:t>
      </w:r>
    </w:p>
    <w:p w14:paraId="13F940E2">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 图纸和承包人文件</w:t>
      </w:r>
    </w:p>
    <w:p w14:paraId="65DCE6BC">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1.6.3 监理人签发图纸修改的期限：图纸需要修改和补充的，应由监理人取得发包人同意后，在该工程或工程相应部位施工前7天签发图纸修改图给承包人。</w:t>
      </w:r>
    </w:p>
    <w:p w14:paraId="4767AA9B">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1.6.4删除原内容代之为：当承包人在阅读合同文件或在本合同工程实施过程中，发现有关的工程设计、技术规范、图纸或其他资料中的任何差错、遗漏或缺陷后，应及时书面通知监理人。监理人接到通知后，应立即就此作出决定，并通知承包人，抄送发包人。</w:t>
      </w:r>
    </w:p>
    <w:p w14:paraId="27D91D9F">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增加1.6.6 补充图纸和指示：如果监理工程师指令承包人修复的缺陷是由于承包人自身原因造成的，承包人应自行设计或根据监理工程师指令委托专业设计单位进行缺陷修复的设计。缺陷修复补充图纸必须报请监理工程师批准后，方可使用。但此批准，不应解除承包人对合同所负的责任。</w:t>
      </w:r>
    </w:p>
    <w:p w14:paraId="33D98D1D">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 联络</w:t>
      </w:r>
    </w:p>
    <w:p w14:paraId="0B9BA5D9">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1.7.2 联络送达的期限： 联络签发后3天内。</w:t>
      </w:r>
    </w:p>
    <w:p w14:paraId="5CCDF8BA">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2.发包人义务</w:t>
      </w:r>
    </w:p>
    <w:p w14:paraId="11723EA5">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 提供施工场地</w:t>
      </w:r>
    </w:p>
    <w:p w14:paraId="59B88AF6">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本款补充：</w:t>
      </w:r>
    </w:p>
    <w:p w14:paraId="2BD1B9BA">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发包人提供施工场地和有关资料的时间：合同生效后分阶段向承包人提供场地和有关资料，以开工令为准。</w:t>
      </w:r>
    </w:p>
    <w:p w14:paraId="5C425210">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2.8 其他义务</w:t>
      </w:r>
    </w:p>
    <w:p w14:paraId="5C6B4F47">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增加2.8.1发包人应：协调勘察、设计、承包人、监理人，以及其他与工程施工有关的关系。</w:t>
      </w:r>
    </w:p>
    <w:p w14:paraId="78536170">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4.承包人</w:t>
      </w:r>
    </w:p>
    <w:p w14:paraId="485336B0">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4.1 承包人的一般义务</w:t>
      </w:r>
    </w:p>
    <w:p w14:paraId="074EF962">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4.1.8 为他人提供方便 </w:t>
      </w:r>
    </w:p>
    <w:p w14:paraId="0A859DAA">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承包人应按监理人的指示为他人在施工场地或附近实施与工程有关的其他各项工作提供可能的条件。除合同另有约定外，提供有关条件的内容和可能发生的费用，由承包人自费。</w:t>
      </w:r>
    </w:p>
    <w:p w14:paraId="7FFEEAA9">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4.1.10其他义务</w:t>
      </w:r>
    </w:p>
    <w:p w14:paraId="0D3D9E32">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增加：</w:t>
      </w:r>
    </w:p>
    <w:p w14:paraId="7DCD5D14">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应尊重项目所在地的乡规民约和风俗习惯，尊重地方政府，密切联系群众，处理好与沿线地方政府、人民群众的关系，积极主动的处理好与建设环境有关的纠纷、事件，有责任和义务与业主共同维护及保障建设施工环境。如出现因承包人自身原因引起的建设环境问题，除自费处理好此问题外，还要向业主支付违约偿金：3～5万元/次。</w:t>
      </w:r>
    </w:p>
    <w:p w14:paraId="0E8F6BEB">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应贯彻执行国家和建设项目有关环境保护的法规、法令，自觉保护项目施工区内的林木、植被、土地及地上、地下水资源等，采取措施降低施工噪音、妥善处理工程弃渣等；若因承包人措施不力而引起的环境问题，除接受政府有关部门的处罚外,还要向业主支付违约偿金：3～5万元/次。</w:t>
      </w:r>
    </w:p>
    <w:p w14:paraId="389B398A">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4.3.2 分包的内容</w:t>
      </w:r>
    </w:p>
    <w:p w14:paraId="339CBE2B">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删除本款内容。</w:t>
      </w:r>
    </w:p>
    <w:p w14:paraId="79121AD2">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4.4 联合体</w:t>
      </w:r>
    </w:p>
    <w:p w14:paraId="298EEA3C">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删除本款内容。</w:t>
      </w:r>
    </w:p>
    <w:p w14:paraId="4BA75A1B">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4.6 人员管理</w:t>
      </w:r>
    </w:p>
    <w:p w14:paraId="723AD4DD">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增加4.6.6  承包人应自行聘（雇）用当地或其他来源的职员或工人，但不得从为业主或监理工程师服务的在职人员或本工程辞退的雇员中招聘雇员和工人。承包人雇用员工应完善劳务注册手续，并与他雇用的员工订立劳务合同，以明确双方的权利和义务。承包人应将劳务合同的副本报监理工程师核备。</w:t>
      </w:r>
    </w:p>
    <w:p w14:paraId="43942E19">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应及时支付聘（雇）用人员的劳务费用及农民工工资。为加强建设过程中工程款的兑付工作，根据《陕西省人民政府办公厅转发省建设厅等部门关于进一步解决建设领域拖欠工程款问题意见的通知》（陕政办发〔2005〕7号）和《陕西省工程建设担保管理办法（试行）》（陕建发〔2005〕108号）的有关规定，承包人应严格执行《建设领域农民工工资支付管理暂行办法》(劳社部发〔2004〕22号)，按照依法签订的集体合同或劳动合同约定的日期按月支付农民工工资，不得随意克扣，且不得低于当地最低工资标准。</w:t>
      </w:r>
    </w:p>
    <w:p w14:paraId="3D582F85">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规范项目农民工工资支付行为，预防和解决企业拖欠、克扣农民工工资问题，承包人在收到中标通知书后签定合同协议前，应向业主提交承包人杜绝转包、违法分包和拖欠民工工资行为承诺，当发生拖欠、克扣农民工工资等现象时，业主将有权动用承包人的任何应支款项用于支付农民工工资。如因承包人原因引起的任何劳务纠纷或诉讼，由承包人承担相应的法律和经济责任。</w:t>
      </w:r>
    </w:p>
    <w:p w14:paraId="4DAC3768">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4.10 承包人现场勘查</w:t>
      </w:r>
    </w:p>
    <w:p w14:paraId="41AF7965">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4.10.1发包人提供给承包人设计图纸中设计单位根据对本合同工程的勘察所取得的水文、地质、气象、试验和料场分布的描述或说明，应视为参考资料，不构成合同文件的组成部分。承包人应通过现场考察或其它方式，对图纸所示的水文、地质、气象、料场等资料，作出自我判断和确定。业主对此不承担责任。</w:t>
      </w:r>
    </w:p>
    <w:p w14:paraId="68D79672">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5.材料和工程设备</w:t>
      </w:r>
    </w:p>
    <w:p w14:paraId="0F42D501">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5.1 承包人提供的材料和工程设备</w:t>
      </w:r>
    </w:p>
    <w:p w14:paraId="26E4F62D">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5.1.1 承包人负责采购、运输和保管的材料、工程设备：工程施工图列明所需要的所有材料及设备（试验设备及施工设备），材料必须有出厂检验合格单，进场每批次必须检验合格，经监理人确认后，方可用于工程 </w:t>
      </w:r>
    </w:p>
    <w:p w14:paraId="1FB3AC81">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5.1.2承包人报送监理人审批的时间： 购买前7天内</w:t>
      </w:r>
    </w:p>
    <w:p w14:paraId="30A1AE44">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5.2 删除本款内容</w:t>
      </w:r>
    </w:p>
    <w:p w14:paraId="32027918">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6.施工设备和临时设施</w:t>
      </w:r>
    </w:p>
    <w:p w14:paraId="0074B767">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6.1 承包人提供的施工设备和临时设施</w:t>
      </w:r>
    </w:p>
    <w:p w14:paraId="13E0DDE7">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6.1.1 删除通用条款内容，代之为：承包人应使用合同文件中投标函附表一中拟投入的主要施工设备，不得拖延、短缺或任意更换，除非监理人同意，承包人不得将进场的设备随意调离施工现场，否则将按第22.1款视为承包人违约按本条款第22.1条办理。</w:t>
      </w:r>
    </w:p>
    <w:p w14:paraId="12A42E5A">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并在通用条款本款后增加:尽管承包人已按投标书附表的要求提供了上述相应的施工机械设备、试验测量仪器，但监理人认为数量、性能或测试精度不能满足现场施工需要和保证质量时，监理人有权要求承包人继续增加相应的机械设备和试验测量仪器，并书面通知承包人和抄送发包人。承包人接到监理人指令后应立即执行并确保在监理人规定的时间内如数到场，否则也将视为承包人违约，按本条款第22.1条办理。</w:t>
      </w:r>
    </w:p>
    <w:p w14:paraId="499BAB0E">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6.1.2 承包人承担修建临时设施的范围：驻地的办公室、食堂、宿舍、道路和机械设备停放场、材料堆放场地、取弃土场、预制场、拌和场、仓库、进场临时道路、临时便道、便桥等。</w:t>
      </w:r>
    </w:p>
    <w:p w14:paraId="201471BE">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临时占地的申请：临时用地的申请由发包人协助承包人向当地政府土地管理部门申请，并办理租用手续，承包人按有关规定直接支付其费用，发包人对此将予以协调。临时用地退还前，承包人应自费恢复到临时用地使用前的状况。如因承包人撤离后未按要求对临时用地进行恢复或虽进行了恢复但未达到使用标准的，将由发包人委托第三方对其恢复，所发生的费用将从应付承包人的任何款项中扣除。</w:t>
      </w:r>
    </w:p>
    <w:p w14:paraId="6D8C7330">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临时占地相关费用：临时占地租用费，含临时用地中如有地面附着物拆迁补偿费用，均由承包人承担，并包含在所报的单价或总额价内，不单独计量与支付。其使用期和单价由承包人自行确定。</w:t>
      </w:r>
    </w:p>
    <w:p w14:paraId="36D5BCBD">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7.交通运输</w:t>
      </w:r>
    </w:p>
    <w:p w14:paraId="650D5A63">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7.1 承包人应根据合同工程的施工需要，负责办理取得出入施工场地的专用和临时道路的通行权，以及取得为工程建设所需修建场外设施的权利，并承担有关费用。发包人应协助承包人办理上述手续。</w:t>
      </w:r>
    </w:p>
    <w:p w14:paraId="7C055369">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7.2 场内施工道路</w:t>
      </w:r>
    </w:p>
    <w:p w14:paraId="6041B95E">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7.2.1 临时道路和交通设施的修建、维护、养护和管理人：承包人。</w:t>
      </w:r>
    </w:p>
    <w:p w14:paraId="5CA4DC99">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7.2.2 临时道路和交通设施相关费用的承担：由承包人承担，并考虑到投标报价总价中。</w:t>
      </w:r>
    </w:p>
    <w:p w14:paraId="5D8FAB8E">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增加7.7 施工保畅</w:t>
      </w:r>
    </w:p>
    <w:p w14:paraId="0D47D30B">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工程施工时的保畅问题，施工单位应本着施工服从保畅的原则，在工程开工前，就要制定详细、科学的施工保畅方案，方案要提出具体的保畅措施和机械设备、人员、物资保障，严格执行落实《陕西省国省道公路养护工程施工保障通行规定》和省交通厅《关于进一步加强养护工程施工现场管理的通知》（陕交发[2006]369号）有关要求。正式开工前，承包人应在养护工程起止地点设工程公示牌，标明工程概况、通行方式、项目法人和施工单位、相关责任人、监督部门和监督电话等。承包人应按照批准的保畅通行实施方案，在施工组织设计中制订施工现场保畅通行方案。承包人应按照《道路交通标志和标线》（GB5768-1999）和《公路养护安全作业规程》（JTGH30-2004），在养护施工路段设置交通标志、标线及有关安全设施，在必要的路段设置限速、限载、警告标志等。工程应按照工程规模、期限和保畅通行的要求，合理确定施工路段长度，二、三级公路单个半幅施工路段不得超过2公里，超过范围的应分段组织实施。养护工程施工路段一旦发生交通阻塞时，应立即启动保畅应急预案，疏导交通。堵车时间超过30分钟时，要立即停止施工，采取得力有效的措施在最短时间内疏导车辆，恢复交通通行。</w:t>
      </w:r>
    </w:p>
    <w:p w14:paraId="097F0EF5">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报价时其交通保畅工作所投入的所有费用应包含在相关的工程细目之中，不单独报价。</w:t>
      </w:r>
    </w:p>
    <w:p w14:paraId="6AAC87BB">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8.测量放线</w:t>
      </w:r>
    </w:p>
    <w:p w14:paraId="4DC2DF7A">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8.1 施工控制网</w:t>
      </w:r>
    </w:p>
    <w:p w14:paraId="02A4431C">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8.1.1 发包人提供测量基准点、基准线和水准点的期限：开工前7天 </w:t>
      </w:r>
    </w:p>
    <w:p w14:paraId="5C40E4DD">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施工控制网的测设：承包人</w:t>
      </w:r>
    </w:p>
    <w:p w14:paraId="72750596">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报监理人审批施工控制网资料的期限：发出开工通知后7天</w:t>
      </w:r>
    </w:p>
    <w:p w14:paraId="5F98AD12">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9.施工安全、治安保卫和环境保护</w:t>
      </w:r>
    </w:p>
    <w:p w14:paraId="021EB4CB">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9.3 治安保卫</w:t>
      </w:r>
    </w:p>
    <w:p w14:paraId="04EBF3C0">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9.3.1 现场治安管理机构或联防组织的建立：承包人</w:t>
      </w:r>
    </w:p>
    <w:p w14:paraId="1998D679">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9.3.3 施工场地治安管理计划和突发治安事件紧急预案的编制：由承包人负责编制，监理人负责审核，发包人审批。</w:t>
      </w:r>
    </w:p>
    <w:p w14:paraId="740D998C">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9.4 环境保护</w:t>
      </w:r>
    </w:p>
    <w:p w14:paraId="0245CAF8">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增加9.4.12 承包人对于一些废弃物及弃土场的选择，必须符合国家相应的环保规定，不得污染当地环境，否则造成的后果自负。</w:t>
      </w:r>
    </w:p>
    <w:p w14:paraId="42534EC2">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合同通用条款9、施工安全、治安保卫和环境保护后补充：在实施和完成本合同工程及其缺陷修复的整个过程中，承包人应该：（1）充分关注和保障所有在现场工作的人员的安全，采取有效措施，使现场和本合同工程的实施保持有条不紊，以免使上述人员的安全受到威胁：A.按施工人员的2%~4%配备专职的安全员； b.特殊工种（电工、电梯工、起重工、电焊工、车船驾驶员、爆破工、潜水工、瓦斯检验员等）要经过专业培训，并持有专业主管部门签发的合格证上岗；c.对于易燃易爆的材料除应专门妥善保管之外，还应配备有足够的消防设备，所有施工人员都应熟悉消防设备的性能和使用方法； d.所有施工机具设备和高空作业的设备均应定期检查，并有安全员的签字记录；e.根据本合同各单位工程的施工特点，严格执行JTJ076—95《公路工程施工安全技术规程》与《公路筑养路机械操作规程》的具体规定。（2）为了保护本合同工程免遭损坏，或为了现场附近和过往群众的安全与方便，在确有必要的时候和地方，或当监理人或有关主管部门要求时，承包人应自费提供照明、警卫、护栅、警告标志等安全防护设施。（3）承包人应熟悉和遵守环境保护法，并切实执行技术规范和其他章节中有关环境保护方面的要求和规定。A.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150m以内的施工现场，施工时间应加以控制。b.对于施工中粉尘污染的主要污染源——灰土拌和、施工车辆和筑路机械运行及运输产生的扬尘，应采取有效措施减轻施工现场的大气污染，保护人民健康，如：（A）拌和设备应有较好的密封，或有防尘设备。（b）施工通道、沥青混凝土拌和站及灰土拌和站应经常进行洒水降尘。（c）路面施工应注意保持水分，以免扬尘。（d）隧道出渣和桥梁钻孔灌注桩施工时排出的泥浆要作妥善处理，严禁向河流或农田排放。（e）采取可靠措施保证原有交通的正常通行，维持沿线村镇的居民饮水、农田灌溉、生产生活用电及通讯等管线的正常使用。</w:t>
      </w:r>
    </w:p>
    <w:p w14:paraId="441B710F">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在整个施工过程中对承包人采取的安全、保卫和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7F2B24A1">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增加9.6 投标人应按照投标人须知第3.2.4要求，在投标报价中计入安全生产费，招标人对此部分金额进行了专项暂定，其具体支付办法和方式由发包人制定，并印发监理工程师及承包人执行。</w:t>
      </w:r>
    </w:p>
    <w:p w14:paraId="736AC21C">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10.进度计划</w:t>
      </w:r>
    </w:p>
    <w:p w14:paraId="5C5CD3E2">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10.1 合同进度计划</w:t>
      </w:r>
    </w:p>
    <w:p w14:paraId="09F56860">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删除通用条款和公路工程专用条款全文代之为：</w:t>
      </w:r>
    </w:p>
    <w:p w14:paraId="3C797CB5">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承包人编制施工方案的内容：（编制施工顺序和方法要点部分、分项工程或工程部位的名称）。</w:t>
      </w:r>
    </w:p>
    <w:p w14:paraId="1E99B1F4">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报送施工进度计划和施工方案的期限：承包人应在确保合同工期的前提下，每一个月对进度计划进行一次修订，并应在前一个进度计划的最后一个月25日前，将下个月的进度计划提交给监理人。修改后的工程进度计划仍应保证本合同工程在合同规定的工期内完成。</w:t>
      </w:r>
    </w:p>
    <w:p w14:paraId="46B6C017">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同时，根据项目的总体及年度计划安排，承包人应于每月25日提交次月工程形象进度和完成工作量计划，经批准后，作为考核承包人月进度计划的依据。否则视违约处理。</w:t>
      </w:r>
    </w:p>
    <w:p w14:paraId="47F5FED7">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监理人批复施工进度计划和施工方案的期限：收到进度计划书3天内。</w:t>
      </w:r>
    </w:p>
    <w:p w14:paraId="187CE0DF">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11.开工和交工</w:t>
      </w:r>
    </w:p>
    <w:p w14:paraId="44D5A24F">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11.4 异常恶劣的气候条件</w:t>
      </w:r>
    </w:p>
    <w:p w14:paraId="2CB34DF2">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删除通用条款和公路工程专用条款全文代之为：异常恶劣的气候条件指以月计的某个时期的恶劣气候比当地气象部门50年的统计资料，以50年一遇频率计算的平均气候还要恶劣而引起的工程延误，由监理工程师根据承包人提交的证明予以评定。但在进行上述评定时，还将考虑按同等标准以同期或其他月份异常良好的气候予以抵补。异常气候在每个月对工程影响的评定，应在整个合同期内予以累计。</w:t>
      </w:r>
    </w:p>
    <w:p w14:paraId="39519BDE">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11.5 承包人的工期延误</w:t>
      </w:r>
    </w:p>
    <w:p w14:paraId="1C247091">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逾期交工违约金的计算方法：5000元/天 。</w:t>
      </w:r>
    </w:p>
    <w:p w14:paraId="255914A0">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逾期交工违约金的限额：签约合同价的10％ 。</w:t>
      </w:r>
    </w:p>
    <w:p w14:paraId="0FB7E4DB">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11.6工期提前</w:t>
      </w:r>
    </w:p>
    <w:p w14:paraId="63F6CA21">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提前交工的奖金：500元/天。</w:t>
      </w:r>
    </w:p>
    <w:p w14:paraId="06526843">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提前交工的奖金限额：1%签约合同价。</w:t>
      </w:r>
    </w:p>
    <w:p w14:paraId="4D3D1934">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13.工程质量</w:t>
      </w:r>
    </w:p>
    <w:p w14:paraId="7F5DA049">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13.2 承包人的质量管理</w:t>
      </w:r>
    </w:p>
    <w:p w14:paraId="5027748C">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承包人提交工程质量保证措施文件的期限：进场后7天内 。</w:t>
      </w:r>
    </w:p>
    <w:p w14:paraId="4E302227">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13.3为了加强工程管理，业主将根据工程的质量和工期目标，在工程实施中对质量、进度、安全、保畅、文明施工等方面进行考核，并制定考核办法和奖罚措施，（具体办法由业主制定，并印发承包人），定期公布考核评比结果。无论是否经过双方签字认可，均应视为合同文件的组成部分，是合同文件的补充和完善，承包人不得借此提出任何附加费用和要求。</w:t>
      </w:r>
    </w:p>
    <w:p w14:paraId="35A4B9AF">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14.试验和检验</w:t>
      </w:r>
    </w:p>
    <w:p w14:paraId="2954735A">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增加14.5 试验和检验的日期：对于合同规定的任何材料或设备的正规检查或检验的时间，承包人应事先提出申请，监理人在接到申请后，至少应提前24小时通知承包人其到场时间。如果监理人或其正式委派的代表未能在约定的时间到场，也未另外发出指令，承包人可以自行进行检验，并可以认为这一检验是在监理人在场的情况下完成的。承包人应立即向监理人提出检验数据的复件。如果监理人没有到场参加检验，他应对上述检验数据的准确性给予认可。</w:t>
      </w:r>
    </w:p>
    <w:p w14:paraId="58B5219E">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增加14.6 如果投标单位没有试验检测机构，投标单位须自行联系委托一家试验检测机构进行试验检测，该部分费用已经包含在投标报价的总价之中，不再另行报价，如果投标单位不按要求委托进行试验检测，招标人有权委托一家试验检测机构对工程进行试验检测，其发生的费用可由对承包人的任何支付中扣除。</w:t>
      </w:r>
    </w:p>
    <w:p w14:paraId="4EF6FED8">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15.变更</w:t>
      </w:r>
    </w:p>
    <w:p w14:paraId="1B743839">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15.3.2 变更的估价</w:t>
      </w:r>
    </w:p>
    <w:p w14:paraId="77702702">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通用条款本款后增加:对于工程量清单中单价不适合的变更工程应重新作价，其作价的依据为：（1）该变更项目施工期间的当地材料市场价；（2）现行的交通部公路工程预算编制办法和公路工程预算定额；（3）现行的陕西省公路工程预算编制补充规定、补充预算定额。</w:t>
      </w:r>
    </w:p>
    <w:p w14:paraId="15883150">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16.价格调整（不适用）</w:t>
      </w:r>
    </w:p>
    <w:p w14:paraId="4C841A96">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17.计量与支付</w:t>
      </w:r>
    </w:p>
    <w:p w14:paraId="20B2F06C">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17.2 预付款</w:t>
      </w:r>
    </w:p>
    <w:p w14:paraId="359FA86E">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（不适用）</w:t>
      </w:r>
    </w:p>
    <w:p w14:paraId="3BFE6503">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17.3 工程进度付款</w:t>
      </w:r>
    </w:p>
    <w:p w14:paraId="31097A57">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17.3.2 进度付款申请单</w:t>
      </w:r>
    </w:p>
    <w:p w14:paraId="7A6E61F1">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进度付款申请单的份数：6份</w:t>
      </w:r>
    </w:p>
    <w:p w14:paraId="41DA88B5">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17.4 质量保证金</w:t>
      </w:r>
    </w:p>
    <w:p w14:paraId="3F3D1EF3">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17.4.1 质量保证金的金额或比例：</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w:t>
      </w:r>
    </w:p>
    <w:p w14:paraId="76DFB833">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17.5 交工结算</w:t>
      </w:r>
    </w:p>
    <w:p w14:paraId="53025767">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17.5.1承包人向监理人提交交工预付款申请单（包括相关证明材料）的份数为6份。</w:t>
      </w:r>
    </w:p>
    <w:p w14:paraId="45C9B336">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17.6 最终结清</w:t>
      </w:r>
    </w:p>
    <w:p w14:paraId="477A8576">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17.6.1 最终结清申请单</w:t>
      </w:r>
    </w:p>
    <w:p w14:paraId="2C7882DF">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最终结清申请单的份数和提交期限：在缺陷责任期终止证书颁发后28天内提交6份最终结清申请单。</w:t>
      </w:r>
    </w:p>
    <w:p w14:paraId="7F9C6CA1">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18.交工验收</w:t>
      </w:r>
    </w:p>
    <w:p w14:paraId="14576EA9">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18.3 实际交工日期</w:t>
      </w:r>
    </w:p>
    <w:p w14:paraId="3F1C560C">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18.3.5 实际交工日期：以验收合格日为准</w:t>
      </w:r>
    </w:p>
    <w:p w14:paraId="07491C14">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18.6 试运行</w:t>
      </w:r>
    </w:p>
    <w:p w14:paraId="2C8086E3">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18.6.1 试运行的组织及费用承担：无</w:t>
      </w:r>
    </w:p>
    <w:p w14:paraId="5C61DEA1">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18.7 交工清场</w:t>
      </w:r>
    </w:p>
    <w:p w14:paraId="644C97CC">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18.7.1 交工清场：由承包人完成</w:t>
      </w:r>
    </w:p>
    <w:p w14:paraId="477C9D3E">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18.9 竣工文件</w:t>
      </w:r>
      <w:bookmarkStart w:id="30" w:name="_GoBack"/>
      <w:bookmarkEnd w:id="30"/>
    </w:p>
    <w:p w14:paraId="634914DC">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公路工程专用条款本款后增加:业主及监理办公室将在工程开工后联合下发本工程专用资料用表、分项工程划分表以及相应的竣工资料整理办法，承包人应按其要求进行资料的收集整理，并经监理工程师审查通过后装订成册，其资料整理的完整性、及时性必须令监理工程师满意。</w:t>
      </w:r>
    </w:p>
    <w:p w14:paraId="37585BEF">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20.保险</w:t>
      </w:r>
    </w:p>
    <w:p w14:paraId="762591FC">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20.1  工程保险</w:t>
      </w:r>
    </w:p>
    <w:p w14:paraId="09F5423F">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工程一切险由投标人自行考虑是否投保，业主不承担由于投标人无论是否投保引起的任何责任和费用。</w:t>
      </w:r>
    </w:p>
    <w:p w14:paraId="090EF71E">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22.违约</w:t>
      </w:r>
    </w:p>
    <w:p w14:paraId="30B90125">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22.1承包人违约</w:t>
      </w:r>
    </w:p>
    <w:p w14:paraId="1761E50A">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22.1.2对承包人违约的处理</w:t>
      </w:r>
    </w:p>
    <w:p w14:paraId="1F9E6320">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承包人在投标文件中填写的资料，属于合同文件的组成部分，承包人应全面履行其所做的承诺，否则属于承包人违约，承包人应按下列标准向业主支付违约偿金:</w:t>
      </w:r>
    </w:p>
    <w:p w14:paraId="43554977">
      <w:pPr>
        <w:autoSpaceDE w:val="0"/>
        <w:autoSpaceDN w:val="0"/>
        <w:adjustRightInd w:val="0"/>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（1）承包人投标文件所列“施工机械”和“试验检测设备”必须按时进场，否则业主将按以下规定要求承包人进行违约赔偿：</w:t>
      </w:r>
    </w:p>
    <w:p w14:paraId="62EF6668">
      <w:pPr>
        <w:autoSpaceDE w:val="0"/>
        <w:autoSpaceDN w:val="0"/>
        <w:adjustRightInd w:val="0"/>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a.施工机械：施工机械不按时进场，或到场设备不能正常运转，确实对施工造成影响的，承包人应按2000元/天·套标准向业主支付违约偿金，迟后超过10天时，由业主自行租用或采购新的机械，其租赁或购买的相关费用由承包人承担，且机械到场的延迟时间仍计算违约偿金。</w:t>
      </w:r>
    </w:p>
    <w:p w14:paraId="436CF890">
      <w:pPr>
        <w:autoSpaceDE w:val="0"/>
        <w:autoSpaceDN w:val="0"/>
        <w:adjustRightInd w:val="0"/>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b.试验检测设备：承包人应保证试验检测设备按时到场，并通过监理工程师的验收和质监站的验收，否则承包人应按3-5万元的标准向业主支付违约偿金。</w:t>
      </w:r>
    </w:p>
    <w:p w14:paraId="3AD3696A">
      <w:pPr>
        <w:autoSpaceDE w:val="0"/>
        <w:autoSpaceDN w:val="0"/>
        <w:adjustRightInd w:val="0"/>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（2）承包人投标文件所列“主要人员”必须按时进场，否则业主将按以下规定要求承包人进行违约赔偿：</w:t>
      </w:r>
    </w:p>
    <w:p w14:paraId="61E7C4B9">
      <w:pPr>
        <w:autoSpaceDE w:val="0"/>
        <w:autoSpaceDN w:val="0"/>
        <w:adjustRightInd w:val="0"/>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①项目经理：本项目原则上不允许更换项目经理，若施工单位确因工作、身体等原因需要更换时，需投标人法人单位书面提出申请，报监理工程师和业主批准，但此项人员更换无论什么理由，均处以3万元/人次的违约金；如施工单位未经监理工程师和业主批准，私自更换项目经理的，除按要求履行审批程序之外，另处以5万元/人次的违约金。</w:t>
      </w:r>
    </w:p>
    <w:p w14:paraId="14B7B5DA">
      <w:pPr>
        <w:autoSpaceDE w:val="0"/>
        <w:autoSpaceDN w:val="0"/>
        <w:adjustRightInd w:val="0"/>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②项目总工程师：本项目原则上不允许更换项目总工程师，若施工单位确因工作、身体等需要更换时，需投标人法人单位书面提出申请，报监理工程师和业主批准，但此项人员更换无论什么理由，均处以3万元/人次的违约金；如施工单位未经监理工程师和业主批准，私自更换项目总工程师的，除按要求履行审批程序之外，另处以5万元/人次的违约金。</w:t>
      </w:r>
    </w:p>
    <w:p w14:paraId="66303654">
      <w:pPr>
        <w:autoSpaceDE w:val="0"/>
        <w:autoSpaceDN w:val="0"/>
        <w:adjustRightInd w:val="0"/>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③质检、试验等专业工程师等需要更换时，需投标人法人单位书面提出申请，报监理工程师和业主批准，但此项人员更换无论什么理由，均处以1万元/人次的违约金；如施工单位未经监理工程师和业主批准，私自更换人员的，除按要求履行审批程序之外，另处以2万元/人次的违约金。 </w:t>
      </w:r>
    </w:p>
    <w:p w14:paraId="1DB6C8C9">
      <w:pPr>
        <w:autoSpaceDE w:val="0"/>
        <w:autoSpaceDN w:val="0"/>
        <w:adjustRightInd w:val="0"/>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④主要人员未能按时到场，承包人应按1000元/天•人标准向业主支付违约偿金。</w:t>
      </w:r>
    </w:p>
    <w:p w14:paraId="01FF8390">
      <w:pPr>
        <w:autoSpaceDE w:val="0"/>
        <w:autoSpaceDN w:val="0"/>
        <w:adjustRightInd w:val="0"/>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⑤项目经理和项目总工程师无特殊情况每月坚守工地时间不得少于25天，缺勤按1000元/天•人标准向业主支付违约偿金。项目经理和项目总工程师需要离开工地时必须向业主及总监办请假，获批准后方可离开工地，否则按缺勤处理。</w:t>
      </w:r>
    </w:p>
    <w:p w14:paraId="55FEB2BF">
      <w:pPr>
        <w:autoSpaceDE w:val="0"/>
        <w:autoSpaceDN w:val="0"/>
        <w:adjustRightInd w:val="0"/>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⑥由于承包人自身原因引起的建设环境问题，如纠纷事件、打架斗殴等，造成恶劣影响，严重影响工程建设，以人民币5～20万元向发包人支付违约偿金，并承担由此而引起的一切后果。</w:t>
      </w:r>
    </w:p>
    <w:p w14:paraId="49AF4514">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对于以上规定的考核由监理工程师负责，将考核情况专题报告业主，业主将对考核情况进行核查。</w:t>
      </w:r>
    </w:p>
    <w:p w14:paraId="335D2BF2">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24.争议的解决</w:t>
      </w:r>
    </w:p>
    <w:p w14:paraId="6A103CFB">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24.1 争议的解决方式</w:t>
      </w:r>
    </w:p>
    <w:p w14:paraId="7272F477">
      <w:pPr>
        <w:spacing w:line="43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争议的解决方式：向铜川市仲裁委员会申请仲裁</w:t>
      </w:r>
    </w:p>
    <w:p w14:paraId="124FDFAF">
      <w:pPr>
        <w:spacing w:line="40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br w:type="page"/>
      </w:r>
      <w:bookmarkStart w:id="12" w:name="_Toc144974826"/>
      <w:bookmarkStart w:id="13" w:name="_Toc179632785"/>
      <w:bookmarkStart w:id="14" w:name="_Toc250560966"/>
      <w:bookmarkStart w:id="15" w:name="_Toc152042546"/>
      <w:bookmarkStart w:id="16" w:name="_Toc152045767"/>
      <w:r>
        <w:rPr>
          <w:rFonts w:hint="eastAsia" w:ascii="仿宋" w:hAnsi="仿宋" w:eastAsia="仿宋" w:cs="仿宋"/>
          <w:color w:val="auto"/>
          <w:sz w:val="32"/>
          <w:szCs w:val="32"/>
          <w:highlight w:val="none"/>
        </w:rPr>
        <w:t>第三节  合同附件格式</w:t>
      </w:r>
      <w:bookmarkEnd w:id="12"/>
      <w:bookmarkEnd w:id="13"/>
      <w:bookmarkEnd w:id="14"/>
      <w:bookmarkEnd w:id="15"/>
      <w:bookmarkEnd w:id="16"/>
    </w:p>
    <w:p w14:paraId="2D90C1CE">
      <w:pPr>
        <w:pStyle w:val="9"/>
        <w:outlineLvl w:val="4"/>
        <w:rPr>
          <w:rFonts w:hint="eastAsia" w:ascii="仿宋" w:hAnsi="仿宋" w:eastAsia="仿宋" w:cs="仿宋"/>
          <w:color w:val="auto"/>
          <w:highlight w:val="none"/>
        </w:rPr>
      </w:pPr>
      <w:bookmarkStart w:id="17" w:name="_Toc144974827"/>
      <w:bookmarkStart w:id="18" w:name="_Toc152045768"/>
      <w:bookmarkStart w:id="19" w:name="_Toc179632786"/>
      <w:bookmarkStart w:id="20" w:name="_Toc250560967"/>
      <w:bookmarkStart w:id="21" w:name="_Toc152042547"/>
      <w:r>
        <w:rPr>
          <w:rFonts w:hint="eastAsia" w:ascii="仿宋" w:hAnsi="仿宋" w:eastAsia="仿宋" w:cs="仿宋"/>
          <w:color w:val="auto"/>
          <w:highlight w:val="none"/>
        </w:rPr>
        <w:t>附件一：合同协议书</w:t>
      </w:r>
      <w:bookmarkEnd w:id="17"/>
      <w:bookmarkEnd w:id="18"/>
      <w:bookmarkEnd w:id="19"/>
      <w:bookmarkEnd w:id="20"/>
      <w:bookmarkEnd w:id="21"/>
    </w:p>
    <w:p w14:paraId="1B233C15">
      <w:pP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合同协议书</w:t>
      </w:r>
    </w:p>
    <w:p w14:paraId="040FDB6D">
      <w:pPr>
        <w:spacing w:line="440" w:lineRule="exact"/>
        <w:rPr>
          <w:rFonts w:hint="eastAsia" w:ascii="仿宋" w:hAnsi="仿宋" w:eastAsia="仿宋" w:cs="仿宋"/>
          <w:color w:val="auto"/>
          <w:szCs w:val="21"/>
          <w:highlight w:val="none"/>
        </w:rPr>
      </w:pPr>
    </w:p>
    <w:p w14:paraId="26C5E6D4">
      <w:pPr>
        <w:spacing w:line="440" w:lineRule="exact"/>
        <w:ind w:firstLine="359" w:firstLineChars="171"/>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陕西省铜川公路管理局</w:t>
      </w:r>
      <w:r>
        <w:rPr>
          <w:rFonts w:hint="eastAsia" w:ascii="仿宋" w:hAnsi="仿宋" w:eastAsia="仿宋" w:cs="仿宋"/>
          <w:color w:val="auto"/>
          <w:szCs w:val="21"/>
          <w:highlight w:val="none"/>
        </w:rPr>
        <w:t>（以下简称“发包人”）为实施</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，已接受</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（承包人名称，以下简称“承包人”）对该项目工程施工的投标。发包人和承包人共同达成如下协议。</w:t>
      </w:r>
    </w:p>
    <w:p w14:paraId="5544A6F1">
      <w:pPr>
        <w:spacing w:line="440" w:lineRule="exact"/>
        <w:ind w:firstLine="359" w:firstLineChars="171"/>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本工程由</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组成，全长</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km，公路等级为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，设计时速为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km/h，</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路面，主要为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等。</w:t>
      </w:r>
    </w:p>
    <w:p w14:paraId="4CA6F53D">
      <w:pPr>
        <w:spacing w:line="440" w:lineRule="exact"/>
        <w:ind w:firstLine="359" w:firstLineChars="171"/>
        <w:rPr>
          <w:rFonts w:hint="eastAsia" w:ascii="仿宋" w:hAnsi="仿宋" w:eastAsia="仿宋" w:cs="仿宋"/>
          <w:color w:val="auto"/>
          <w:szCs w:val="21"/>
          <w:highlight w:val="none"/>
        </w:rPr>
      </w:pPr>
      <w:r>
        <w:rPr>
          <w:rFonts w:hint="eastAsia" w:ascii="仿宋" w:hAnsi="仿宋" w:eastAsia="仿宋" w:cs="仿宋"/>
          <w:color w:val="auto"/>
          <w:szCs w:val="21"/>
          <w:highlight w:val="none"/>
        </w:rPr>
        <w:t>2.　下列文件应视为构成合同文件的组成部分：</w:t>
      </w:r>
    </w:p>
    <w:p w14:paraId="7A5D2C27">
      <w:pPr>
        <w:spacing w:line="440" w:lineRule="exact"/>
        <w:ind w:firstLine="359" w:firstLineChars="171"/>
        <w:rPr>
          <w:rFonts w:hint="eastAsia" w:ascii="仿宋" w:hAnsi="仿宋" w:eastAsia="仿宋" w:cs="仿宋"/>
          <w:color w:val="auto"/>
          <w:szCs w:val="21"/>
          <w:highlight w:val="none"/>
        </w:rPr>
      </w:pPr>
      <w:bookmarkStart w:id="22" w:name="_Toc144974828"/>
      <w:bookmarkStart w:id="23" w:name="_Toc152042548"/>
      <w:r>
        <w:rPr>
          <w:rFonts w:hint="eastAsia" w:ascii="仿宋" w:hAnsi="仿宋" w:eastAsia="仿宋" w:cs="仿宋"/>
          <w:color w:val="auto"/>
          <w:szCs w:val="21"/>
          <w:highlight w:val="none"/>
        </w:rPr>
        <w:t>1. 本协议书与下列文件一起构成合同文件：</w:t>
      </w:r>
      <w:bookmarkEnd w:id="22"/>
      <w:bookmarkEnd w:id="23"/>
    </w:p>
    <w:p w14:paraId="28DDBD58">
      <w:pPr>
        <w:spacing w:line="440" w:lineRule="exact"/>
        <w:ind w:firstLine="777" w:firstLineChars="37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（1）本协议书及各种合同附件（合同标期间和合同谈判过程中的澄清文件和补充资料）；</w:t>
      </w:r>
    </w:p>
    <w:p w14:paraId="5772FFFA">
      <w:pPr>
        <w:spacing w:line="440" w:lineRule="exact"/>
        <w:ind w:firstLine="718" w:firstLineChars="342"/>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w:t>
      </w:r>
    </w:p>
    <w:p w14:paraId="3E4D6EBA">
      <w:pPr>
        <w:spacing w:line="440" w:lineRule="exact"/>
        <w:ind w:firstLine="718" w:firstLineChars="342"/>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（3）投标函及投标函附录；</w:t>
      </w:r>
    </w:p>
    <w:p w14:paraId="32B831F3">
      <w:pPr>
        <w:spacing w:line="440" w:lineRule="exact"/>
        <w:ind w:firstLine="718" w:firstLineChars="342"/>
        <w:rPr>
          <w:rFonts w:hint="eastAsia" w:ascii="仿宋" w:hAnsi="仿宋" w:eastAsia="仿宋" w:cs="仿宋"/>
          <w:color w:val="auto"/>
          <w:szCs w:val="21"/>
          <w:highlight w:val="none"/>
        </w:rPr>
      </w:pPr>
      <w:r>
        <w:rPr>
          <w:rFonts w:hint="eastAsia" w:ascii="仿宋" w:hAnsi="仿宋" w:eastAsia="仿宋" w:cs="仿宋"/>
          <w:color w:val="auto"/>
          <w:szCs w:val="21"/>
          <w:highlight w:val="none"/>
        </w:rPr>
        <w:t>（4）项目专用合同条款；</w:t>
      </w:r>
    </w:p>
    <w:p w14:paraId="53E42D7F">
      <w:pPr>
        <w:spacing w:line="440" w:lineRule="exact"/>
        <w:ind w:firstLine="718" w:firstLineChars="342"/>
        <w:rPr>
          <w:rFonts w:hint="eastAsia" w:ascii="仿宋" w:hAnsi="仿宋" w:eastAsia="仿宋" w:cs="仿宋"/>
          <w:color w:val="auto"/>
          <w:szCs w:val="21"/>
          <w:highlight w:val="none"/>
        </w:rPr>
      </w:pPr>
      <w:r>
        <w:rPr>
          <w:rFonts w:hint="eastAsia" w:ascii="仿宋" w:hAnsi="仿宋" w:eastAsia="仿宋" w:cs="仿宋"/>
          <w:color w:val="auto"/>
          <w:szCs w:val="21"/>
          <w:highlight w:val="none"/>
        </w:rPr>
        <w:t>（5）公路工程专用合同条款；</w:t>
      </w:r>
    </w:p>
    <w:p w14:paraId="70362556">
      <w:pPr>
        <w:spacing w:line="440" w:lineRule="exact"/>
        <w:ind w:firstLine="718" w:firstLineChars="342"/>
        <w:rPr>
          <w:rFonts w:hint="eastAsia" w:ascii="仿宋" w:hAnsi="仿宋" w:eastAsia="仿宋" w:cs="仿宋"/>
          <w:color w:val="auto"/>
          <w:szCs w:val="21"/>
          <w:highlight w:val="none"/>
        </w:rPr>
      </w:pPr>
      <w:r>
        <w:rPr>
          <w:rFonts w:hint="eastAsia" w:ascii="仿宋" w:hAnsi="仿宋" w:eastAsia="仿宋" w:cs="仿宋"/>
          <w:color w:val="auto"/>
          <w:szCs w:val="21"/>
          <w:highlight w:val="none"/>
        </w:rPr>
        <w:t>（6）通用合同条款；</w:t>
      </w:r>
    </w:p>
    <w:p w14:paraId="27B23455">
      <w:pPr>
        <w:spacing w:line="440" w:lineRule="exact"/>
        <w:ind w:firstLine="718" w:firstLineChars="342"/>
        <w:rPr>
          <w:rFonts w:hint="eastAsia" w:ascii="仿宋" w:hAnsi="仿宋" w:eastAsia="仿宋" w:cs="仿宋"/>
          <w:color w:val="auto"/>
          <w:szCs w:val="21"/>
          <w:highlight w:val="none"/>
        </w:rPr>
      </w:pPr>
      <w:r>
        <w:rPr>
          <w:rFonts w:hint="eastAsia" w:ascii="仿宋" w:hAnsi="仿宋" w:eastAsia="仿宋" w:cs="仿宋"/>
          <w:color w:val="auto"/>
          <w:szCs w:val="21"/>
          <w:highlight w:val="none"/>
        </w:rPr>
        <w:t>（7）技术规范；</w:t>
      </w:r>
    </w:p>
    <w:p w14:paraId="088B9B08">
      <w:pPr>
        <w:spacing w:line="440" w:lineRule="exact"/>
        <w:ind w:firstLine="718" w:firstLineChars="342"/>
        <w:rPr>
          <w:rFonts w:hint="eastAsia" w:ascii="仿宋" w:hAnsi="仿宋" w:eastAsia="仿宋" w:cs="仿宋"/>
          <w:color w:val="auto"/>
          <w:szCs w:val="21"/>
          <w:highlight w:val="none"/>
        </w:rPr>
      </w:pPr>
      <w:r>
        <w:rPr>
          <w:rFonts w:hint="eastAsia" w:ascii="仿宋" w:hAnsi="仿宋" w:eastAsia="仿宋" w:cs="仿宋"/>
          <w:color w:val="auto"/>
          <w:szCs w:val="21"/>
          <w:highlight w:val="none"/>
        </w:rPr>
        <w:t>（8）图纸；</w:t>
      </w:r>
    </w:p>
    <w:p w14:paraId="1425BC0B">
      <w:pPr>
        <w:spacing w:line="440" w:lineRule="exact"/>
        <w:ind w:firstLine="718" w:firstLineChars="342"/>
        <w:rPr>
          <w:rFonts w:hint="eastAsia" w:ascii="仿宋" w:hAnsi="仿宋" w:eastAsia="仿宋" w:cs="仿宋"/>
          <w:color w:val="auto"/>
          <w:szCs w:val="21"/>
          <w:highlight w:val="none"/>
        </w:rPr>
      </w:pPr>
      <w:r>
        <w:rPr>
          <w:rFonts w:hint="eastAsia" w:ascii="仿宋" w:hAnsi="仿宋" w:eastAsia="仿宋" w:cs="仿宋"/>
          <w:color w:val="auto"/>
          <w:szCs w:val="21"/>
          <w:highlight w:val="none"/>
        </w:rPr>
        <w:t>（9）已标价工程量清单；</w:t>
      </w:r>
    </w:p>
    <w:p w14:paraId="70309726">
      <w:pPr>
        <w:spacing w:line="440" w:lineRule="exact"/>
        <w:ind w:firstLine="718" w:firstLineChars="342"/>
        <w:rPr>
          <w:rFonts w:hint="eastAsia" w:ascii="仿宋" w:hAnsi="仿宋" w:eastAsia="仿宋" w:cs="仿宋"/>
          <w:color w:val="auto"/>
          <w:szCs w:val="21"/>
          <w:highlight w:val="none"/>
        </w:rPr>
      </w:pPr>
      <w:r>
        <w:rPr>
          <w:rFonts w:hint="eastAsia" w:ascii="仿宋" w:hAnsi="仿宋" w:eastAsia="仿宋" w:cs="仿宋"/>
          <w:color w:val="auto"/>
          <w:szCs w:val="21"/>
          <w:highlight w:val="none"/>
        </w:rPr>
        <w:t>（10）承包人有关人员、设备投入的承诺及投标文件中的施工组织设计；</w:t>
      </w:r>
    </w:p>
    <w:p w14:paraId="64FEAF10">
      <w:pPr>
        <w:spacing w:line="440" w:lineRule="exact"/>
        <w:ind w:firstLine="718" w:firstLineChars="342"/>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（11）其他合同文件。</w:t>
      </w:r>
    </w:p>
    <w:p w14:paraId="5D7345EF">
      <w:pPr>
        <w:spacing w:line="440" w:lineRule="exact"/>
        <w:ind w:firstLine="359" w:firstLineChars="171"/>
        <w:rPr>
          <w:rFonts w:hint="eastAsia" w:ascii="仿宋" w:hAnsi="仿宋" w:eastAsia="仿宋" w:cs="仿宋"/>
          <w:color w:val="auto"/>
          <w:szCs w:val="21"/>
          <w:highlight w:val="none"/>
        </w:rPr>
      </w:pPr>
      <w:bookmarkStart w:id="24" w:name="_Toc152042549"/>
      <w:bookmarkStart w:id="25" w:name="_Toc144974829"/>
      <w:r>
        <w:rPr>
          <w:rFonts w:hint="eastAsia" w:ascii="仿宋" w:hAnsi="仿宋" w:eastAsia="仿宋" w:cs="仿宋"/>
          <w:color w:val="auto"/>
          <w:szCs w:val="21"/>
          <w:highlight w:val="none"/>
        </w:rPr>
        <w:t>3.上述文件互相补充和解释，如有不明确或不一致之处，以合同约定次序在先者为准。</w:t>
      </w:r>
      <w:bookmarkEnd w:id="24"/>
      <w:bookmarkEnd w:id="25"/>
    </w:p>
    <w:p w14:paraId="3CE951BC">
      <w:pPr>
        <w:spacing w:line="440" w:lineRule="exact"/>
        <w:ind w:firstLine="359" w:firstLineChars="171"/>
        <w:rPr>
          <w:rFonts w:hint="eastAsia" w:ascii="仿宋" w:hAnsi="仿宋" w:eastAsia="仿宋" w:cs="仿宋"/>
          <w:color w:val="auto"/>
          <w:szCs w:val="21"/>
          <w:highlight w:val="none"/>
        </w:rPr>
      </w:pPr>
      <w:r>
        <w:rPr>
          <w:rFonts w:hint="eastAsia" w:ascii="仿宋" w:hAnsi="仿宋" w:eastAsia="仿宋" w:cs="仿宋"/>
          <w:color w:val="auto"/>
          <w:szCs w:val="21"/>
          <w:highlight w:val="none"/>
        </w:rPr>
        <w:t>4.根据工程量清单所列的预计数量和单价或总额价计算的签约合同价： 签约合同价：人民币（大写）</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5136CD5B">
      <w:pPr>
        <w:spacing w:line="440" w:lineRule="exact"/>
        <w:ind w:firstLine="359" w:firstLineChars="171"/>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5. 承包人项目经理：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。承包人项目总工：</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1C967D51">
      <w:pPr>
        <w:spacing w:line="440" w:lineRule="exact"/>
        <w:ind w:firstLine="359" w:firstLineChars="171"/>
        <w:rPr>
          <w:rFonts w:hint="eastAsia" w:ascii="仿宋" w:hAnsi="仿宋" w:eastAsia="仿宋" w:cs="仿宋"/>
          <w:color w:val="auto"/>
          <w:szCs w:val="21"/>
          <w:highlight w:val="none"/>
        </w:rPr>
      </w:pPr>
      <w:r>
        <w:rPr>
          <w:rFonts w:hint="eastAsia" w:ascii="仿宋" w:hAnsi="仿宋" w:eastAsia="仿宋" w:cs="仿宋"/>
          <w:color w:val="auto"/>
          <w:szCs w:val="21"/>
          <w:highlight w:val="none"/>
        </w:rPr>
        <w:t>6. 工程质量符合</w:t>
      </w:r>
      <w:r>
        <w:rPr>
          <w:rFonts w:hint="eastAsia" w:ascii="仿宋" w:hAnsi="仿宋" w:eastAsia="仿宋" w:cs="仿宋"/>
          <w:color w:val="auto"/>
          <w:szCs w:val="21"/>
          <w:highlight w:val="none"/>
          <w:u w:val="single"/>
        </w:rPr>
        <w:t>合格</w:t>
      </w:r>
      <w:r>
        <w:rPr>
          <w:rFonts w:hint="eastAsia" w:ascii="仿宋" w:hAnsi="仿宋" w:eastAsia="仿宋" w:cs="仿宋"/>
          <w:color w:val="auto"/>
          <w:szCs w:val="21"/>
          <w:highlight w:val="none"/>
        </w:rPr>
        <w:t>标准。</w:t>
      </w:r>
    </w:p>
    <w:p w14:paraId="4E6D58FE">
      <w:pPr>
        <w:spacing w:line="440" w:lineRule="exact"/>
        <w:ind w:firstLine="359" w:firstLineChars="171"/>
        <w:rPr>
          <w:rFonts w:hint="eastAsia" w:ascii="仿宋" w:hAnsi="仿宋" w:eastAsia="仿宋" w:cs="仿宋"/>
          <w:color w:val="auto"/>
          <w:szCs w:val="21"/>
          <w:highlight w:val="none"/>
        </w:rPr>
      </w:pPr>
      <w:r>
        <w:rPr>
          <w:rFonts w:hint="eastAsia" w:ascii="仿宋" w:hAnsi="仿宋" w:eastAsia="仿宋" w:cs="仿宋"/>
          <w:color w:val="auto"/>
          <w:szCs w:val="21"/>
          <w:highlight w:val="none"/>
        </w:rPr>
        <w:t>7. 承包人承诺按合同约定承担工程的实施、完成及缺陷修复。</w:t>
      </w:r>
    </w:p>
    <w:p w14:paraId="2E7C5ECC">
      <w:pPr>
        <w:spacing w:line="440" w:lineRule="exact"/>
        <w:ind w:firstLine="359" w:firstLineChars="171"/>
        <w:rPr>
          <w:rFonts w:hint="eastAsia" w:ascii="仿宋" w:hAnsi="仿宋" w:eastAsia="仿宋" w:cs="仿宋"/>
          <w:color w:val="auto"/>
          <w:szCs w:val="21"/>
          <w:highlight w:val="none"/>
        </w:rPr>
      </w:pPr>
      <w:r>
        <w:rPr>
          <w:rFonts w:hint="eastAsia" w:ascii="仿宋" w:hAnsi="仿宋" w:eastAsia="仿宋" w:cs="仿宋"/>
          <w:color w:val="auto"/>
          <w:szCs w:val="21"/>
          <w:highlight w:val="none"/>
        </w:rPr>
        <w:t>8. 发包人承诺按合同约定的条件、时间和方式向承包人支付合同价款。</w:t>
      </w:r>
    </w:p>
    <w:p w14:paraId="55CBE122">
      <w:pPr>
        <w:spacing w:line="440" w:lineRule="exact"/>
        <w:ind w:firstLine="359" w:firstLineChars="171"/>
        <w:rPr>
          <w:rFonts w:hint="eastAsia" w:ascii="仿宋" w:hAnsi="仿宋" w:eastAsia="仿宋" w:cs="仿宋"/>
          <w:color w:val="auto"/>
          <w:szCs w:val="21"/>
          <w:highlight w:val="none"/>
        </w:rPr>
      </w:pPr>
      <w:r>
        <w:rPr>
          <w:rFonts w:hint="eastAsia" w:ascii="仿宋" w:hAnsi="仿宋" w:eastAsia="仿宋" w:cs="仿宋"/>
          <w:color w:val="auto"/>
          <w:szCs w:val="21"/>
          <w:highlight w:val="none"/>
        </w:rPr>
        <w:t>9. 承包人应按照监理人指示开工，工期为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日历天。</w:t>
      </w:r>
    </w:p>
    <w:p w14:paraId="3B77B636">
      <w:pPr>
        <w:spacing w:line="440" w:lineRule="exact"/>
        <w:ind w:firstLine="359" w:firstLineChars="171"/>
        <w:rPr>
          <w:rFonts w:hint="eastAsia" w:ascii="仿宋" w:hAnsi="仿宋" w:eastAsia="仿宋" w:cs="仿宋"/>
          <w:color w:val="auto"/>
          <w:szCs w:val="21"/>
          <w:highlight w:val="none"/>
        </w:rPr>
      </w:pPr>
      <w:r>
        <w:rPr>
          <w:rFonts w:hint="eastAsia" w:ascii="仿宋" w:hAnsi="仿宋" w:eastAsia="仿宋" w:cs="仿宋"/>
          <w:color w:val="auto"/>
          <w:szCs w:val="21"/>
          <w:highlight w:val="none"/>
        </w:rPr>
        <w:t>10.本协议书由双方法定代表人或其委托代理人签署并加盖单位章后生效。全部工程完工后经交工验收合格、缺陷责任期满签发缺陷责任终止证书后失效。</w:t>
      </w:r>
    </w:p>
    <w:p w14:paraId="43F35B39">
      <w:pPr>
        <w:spacing w:line="440" w:lineRule="exact"/>
        <w:ind w:firstLine="359" w:firstLineChars="171"/>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11.本协议书正本二份、副本</w:t>
      </w:r>
      <w:r>
        <w:rPr>
          <w:rFonts w:hint="eastAsia" w:ascii="仿宋" w:hAnsi="仿宋" w:eastAsia="仿宋" w:cs="仿宋"/>
          <w:color w:val="auto"/>
          <w:szCs w:val="21"/>
          <w:highlight w:val="none"/>
          <w:u w:val="single"/>
        </w:rPr>
        <w:t>四</w:t>
      </w:r>
      <w:r>
        <w:rPr>
          <w:rFonts w:hint="eastAsia" w:ascii="仿宋" w:hAnsi="仿宋" w:eastAsia="仿宋" w:cs="仿宋"/>
          <w:color w:val="auto"/>
          <w:szCs w:val="21"/>
          <w:highlight w:val="none"/>
        </w:rPr>
        <w:t>份，合同双方各执正本一份，副本</w:t>
      </w:r>
      <w:r>
        <w:rPr>
          <w:rFonts w:hint="eastAsia" w:ascii="仿宋" w:hAnsi="仿宋" w:eastAsia="仿宋" w:cs="仿宋"/>
          <w:color w:val="auto"/>
          <w:szCs w:val="21"/>
          <w:highlight w:val="none"/>
          <w:u w:val="single"/>
        </w:rPr>
        <w:t>两</w:t>
      </w:r>
      <w:r>
        <w:rPr>
          <w:rFonts w:hint="eastAsia" w:ascii="仿宋" w:hAnsi="仿宋" w:eastAsia="仿宋" w:cs="仿宋"/>
          <w:color w:val="auto"/>
          <w:szCs w:val="21"/>
          <w:highlight w:val="none"/>
        </w:rPr>
        <w:t>份，当正本与副本的内容不一致时，以正本为准。</w:t>
      </w:r>
    </w:p>
    <w:p w14:paraId="76743648">
      <w:pPr>
        <w:spacing w:line="440" w:lineRule="exact"/>
        <w:ind w:firstLine="359" w:firstLineChars="171"/>
        <w:rPr>
          <w:rFonts w:hint="eastAsia" w:ascii="仿宋" w:hAnsi="仿宋" w:eastAsia="仿宋" w:cs="仿宋"/>
          <w:color w:val="auto"/>
          <w:szCs w:val="21"/>
          <w:highlight w:val="none"/>
        </w:rPr>
      </w:pPr>
      <w:bookmarkStart w:id="26" w:name="_Toc144974830"/>
      <w:bookmarkStart w:id="27" w:name="_Toc152042550"/>
      <w:r>
        <w:rPr>
          <w:rFonts w:hint="eastAsia" w:ascii="仿宋" w:hAnsi="仿宋" w:eastAsia="仿宋" w:cs="仿宋"/>
          <w:color w:val="auto"/>
          <w:szCs w:val="21"/>
          <w:highlight w:val="none"/>
        </w:rPr>
        <w:t>12. 合同未尽事宜，双方另行签订补充协议。补充协议是合同的组成部分。</w:t>
      </w:r>
      <w:bookmarkEnd w:id="26"/>
      <w:bookmarkEnd w:id="27"/>
    </w:p>
    <w:p w14:paraId="45E2C00F">
      <w:pPr>
        <w:spacing w:line="440" w:lineRule="exact"/>
        <w:ind w:firstLine="359" w:firstLineChars="171"/>
        <w:rPr>
          <w:rFonts w:hint="eastAsia" w:ascii="仿宋" w:hAnsi="仿宋" w:eastAsia="仿宋" w:cs="仿宋"/>
          <w:color w:val="auto"/>
          <w:szCs w:val="21"/>
          <w:highlight w:val="none"/>
        </w:rPr>
      </w:pPr>
    </w:p>
    <w:p w14:paraId="62BF6500">
      <w:pPr>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（盖单位章）     承包人：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（盖单位章）</w:t>
      </w:r>
    </w:p>
    <w:p w14:paraId="0D9AF12C">
      <w:pPr>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法定代表人或其委托代理人：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（签字）    法定代表人或其委托代理人：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（签字）</w:t>
      </w:r>
    </w:p>
    <w:p w14:paraId="605C28E5">
      <w:pPr>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月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日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月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07F0BC7D">
      <w:pPr>
        <w:pStyle w:val="9"/>
        <w:outlineLvl w:val="4"/>
        <w:rPr>
          <w:rFonts w:hint="eastAsia" w:ascii="仿宋" w:hAnsi="仿宋" w:eastAsia="仿宋" w:cs="仿宋"/>
          <w:color w:val="auto"/>
          <w:highlight w:val="none"/>
        </w:rPr>
      </w:pPr>
      <w:r>
        <w:rPr>
          <w:rFonts w:hint="eastAsia" w:ascii="仿宋" w:hAnsi="仿宋" w:eastAsia="仿宋" w:cs="仿宋"/>
          <w:color w:val="auto"/>
          <w:sz w:val="21"/>
          <w:szCs w:val="21"/>
          <w:highlight w:val="none"/>
        </w:rPr>
        <w:br w:type="page"/>
      </w:r>
      <w:bookmarkStart w:id="28" w:name="_Toc250560968"/>
      <w:r>
        <w:rPr>
          <w:rFonts w:hint="eastAsia" w:ascii="仿宋" w:hAnsi="仿宋" w:eastAsia="仿宋" w:cs="仿宋"/>
          <w:color w:val="auto"/>
          <w:highlight w:val="none"/>
        </w:rPr>
        <w:t>附件二：廉政合同</w:t>
      </w:r>
      <w:bookmarkEnd w:id="28"/>
    </w:p>
    <w:p w14:paraId="4F554674">
      <w:pPr>
        <w:spacing w:line="400" w:lineRule="exact"/>
        <w:rPr>
          <w:rFonts w:hint="eastAsia" w:ascii="仿宋" w:hAnsi="仿宋" w:eastAsia="仿宋" w:cs="仿宋"/>
          <w:color w:val="auto"/>
          <w:highlight w:val="none"/>
        </w:rPr>
      </w:pPr>
    </w:p>
    <w:p w14:paraId="3118FEB2">
      <w:pP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廉 政 合 同</w:t>
      </w:r>
    </w:p>
    <w:p w14:paraId="5188E030">
      <w:pPr>
        <w:spacing w:line="440" w:lineRule="exact"/>
        <w:rPr>
          <w:rFonts w:hint="eastAsia" w:ascii="仿宋" w:hAnsi="仿宋" w:eastAsia="仿宋" w:cs="仿宋"/>
          <w:color w:val="auto"/>
          <w:szCs w:val="21"/>
          <w:highlight w:val="none"/>
        </w:rPr>
      </w:pPr>
    </w:p>
    <w:p w14:paraId="671AEEB0">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的项目法人</w:t>
      </w:r>
      <w:r>
        <w:rPr>
          <w:rFonts w:hint="eastAsia" w:ascii="仿宋" w:hAnsi="仿宋" w:eastAsia="仿宋" w:cs="仿宋"/>
          <w:color w:val="auto"/>
          <w:szCs w:val="21"/>
          <w:highlight w:val="none"/>
          <w:u w:val="single"/>
        </w:rPr>
        <w:t>陕西省铜川公路管理局</w:t>
      </w:r>
      <w:r>
        <w:rPr>
          <w:rFonts w:hint="eastAsia" w:ascii="仿宋" w:hAnsi="仿宋" w:eastAsia="仿宋" w:cs="仿宋"/>
          <w:color w:val="auto"/>
          <w:szCs w:val="21"/>
          <w:highlight w:val="none"/>
        </w:rPr>
        <w:t>（以下简称“以包人”）与该项目全部工程的施工单位</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（施工单位名称，以下简称“承包人”），特订立如下合同。</w:t>
      </w:r>
    </w:p>
    <w:p w14:paraId="11D48A0D">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1.发包人和承包人双方的权利和义务</w:t>
      </w:r>
    </w:p>
    <w:p w14:paraId="58D7C453">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（1）严格遵守党的政策规定和国家有关法律法规及交通运输部的有关规定。</w:t>
      </w:r>
    </w:p>
    <w:p w14:paraId="6492E98B">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（2）严格执行，</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施工合同文件，自觉按合同办事。</w:t>
      </w:r>
    </w:p>
    <w:p w14:paraId="123F3290">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（3）双方的业务活动坚持公开、公正、诚信、透明的原则（法律认定的商业秘密和合同文件另有规定除外），不得损害国家和集体利益，不得违反工程建设管理规章制度。</w:t>
      </w:r>
    </w:p>
    <w:p w14:paraId="2540D0B8">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（4）建立健全廉政制度，开展廉政教育，设立廉政告示牌，公布举报电话，监督并认真查处违法违纪行为。</w:t>
      </w:r>
    </w:p>
    <w:p w14:paraId="004EDB24">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（5）发现对方在业务活动中有违反廉政规定的行为，有及时提醒对方纠正的权利和义务。</w:t>
      </w:r>
    </w:p>
    <w:p w14:paraId="06218835">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（6）发现对方严重违反本合同义务条款的行为，有向其上级有关部门举报、建议给予处理并要求告知处理结果的权利。</w:t>
      </w:r>
    </w:p>
    <w:p w14:paraId="19F6D5C0">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2.发包人的义务</w:t>
      </w:r>
    </w:p>
    <w:p w14:paraId="7D461756">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（1）发包人及其工作人员不得索要或接受承包人的礼金、有价证券和贵重物品，不得让承包报销任何由发包人或发包人工作人员个人支付的费用等。</w:t>
      </w:r>
    </w:p>
    <w:p w14:paraId="745EC354">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（2）发包人工作人员不得参加承包人安排的超标宴请和娱乐活动；不得接受承包人提供的通讯工具、交通工具和高档办公用品等。</w:t>
      </w:r>
    </w:p>
    <w:p w14:paraId="1A909140">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（3）发包人及其工作人员不得要求或者接受承包人为其住房装修、婚丧嫁娶活动、配偶子女的工作安排以及出国出境、旅游等提供方便等。</w:t>
      </w:r>
    </w:p>
    <w:p w14:paraId="0C412E11">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（4）发包人工作人员及其配偶、子女不得从事与发包人工程有关的材料设备供应、工程分包、劳务等经济活动等。</w:t>
      </w:r>
    </w:p>
    <w:p w14:paraId="19667378">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（5）发包人及其工作人员要秉公办事，不准营私舞弊，不准利用职权从事各种个人有偿中介活动和安排个人施工队伍。</w:t>
      </w:r>
    </w:p>
    <w:p w14:paraId="0EF2AC6B">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3.承包人的义务</w:t>
      </w:r>
    </w:p>
    <w:p w14:paraId="16A4367D">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（1）承包人不得以任何理由向发包人及其工作人员行贿或馈赠礼金、有价证券、贵重礼品。</w:t>
      </w:r>
    </w:p>
    <w:p w14:paraId="7E7E2B8F">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（2）承包人不得以任何名义为发包人及其工作人员报销应由发包人单位或个人支付的任何费用。</w:t>
      </w:r>
    </w:p>
    <w:p w14:paraId="5A52B2DC">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（3）承包人不得为任何发包人单位和个人购置或提供通讯工具、交通工具和高档办公用品等。</w:t>
      </w:r>
    </w:p>
    <w:p w14:paraId="52047D7D">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4.违约责任</w:t>
      </w:r>
    </w:p>
    <w:p w14:paraId="6F371E65">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（1）发包人及其工作人员违反本合同第1、2条，按管理权限，依据有关规定给予党纪、政纪或组织处理；移交司法机关追究刑事责任；给承包人单位造成经济损失的，应予以赔偿。</w:t>
      </w:r>
    </w:p>
    <w:p w14:paraId="0B033942">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2）承包人及其工作人员违反本合同1、3条，按管理权限，依据有关规定给予党纪、政纪或组织处理；给承包人单位造成经济损失的，应予以赔偿；情节严重的，以包人建议交通主管部门给予承包人一至三年内不得进入其主管的公路建设市场的处罚。</w:t>
      </w:r>
    </w:p>
    <w:p w14:paraId="516971FD">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14:paraId="208B1997">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6.本合同有效期为发包人和承包人签署之日起至该工程项目竣工验收后止。</w:t>
      </w:r>
    </w:p>
    <w:p w14:paraId="27825E26">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7.本合同作为，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施工合同的附件，与工程施工合同具有同等的法律效力，经合同双方签署后立即生效。</w:t>
      </w:r>
    </w:p>
    <w:p w14:paraId="5215F5A3">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8.本合同一式四份，由发包人和承包人各执一份，送交发包人和承包人的监督单位各一份。</w:t>
      </w:r>
    </w:p>
    <w:p w14:paraId="2FD151E0">
      <w:pPr>
        <w:spacing w:line="440" w:lineRule="exact"/>
        <w:ind w:firstLine="539" w:firstLineChars="257"/>
        <w:rPr>
          <w:rFonts w:hint="eastAsia" w:ascii="仿宋" w:hAnsi="仿宋" w:eastAsia="仿宋" w:cs="仿宋"/>
          <w:color w:val="auto"/>
          <w:szCs w:val="21"/>
          <w:highlight w:val="none"/>
        </w:rPr>
      </w:pPr>
    </w:p>
    <w:p w14:paraId="3C9E2E40">
      <w:pPr>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（盖单位章）          承包人：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（盖单位章）</w:t>
      </w:r>
    </w:p>
    <w:p w14:paraId="31CAB316">
      <w:pPr>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法定代表人或其委托代理人：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（签字）       法定代表人或其委托代理人：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（签字）</w:t>
      </w:r>
    </w:p>
    <w:p w14:paraId="056D485A">
      <w:pPr>
        <w:spacing w:line="440" w:lineRule="exact"/>
        <w:ind w:firstLine="539" w:firstLineChars="257"/>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日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7198ECCE">
      <w:pPr>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发包人监督单位：</w:t>
      </w:r>
      <w:r>
        <w:rPr>
          <w:rFonts w:hint="eastAsia" w:ascii="仿宋" w:hAnsi="仿宋" w:eastAsia="仿宋" w:cs="仿宋"/>
          <w:color w:val="auto"/>
          <w:szCs w:val="21"/>
          <w:highlight w:val="none"/>
          <w:u w:val="single"/>
        </w:rPr>
        <w:t>（全称）  （盖单位章）</w:t>
      </w:r>
      <w:r>
        <w:rPr>
          <w:rFonts w:hint="eastAsia" w:ascii="仿宋" w:hAnsi="仿宋" w:eastAsia="仿宋" w:cs="仿宋"/>
          <w:color w:val="auto"/>
          <w:szCs w:val="21"/>
          <w:highlight w:val="none"/>
        </w:rPr>
        <w:t xml:space="preserve">        承包人监督单位：</w:t>
      </w:r>
      <w:r>
        <w:rPr>
          <w:rFonts w:hint="eastAsia" w:ascii="仿宋" w:hAnsi="仿宋" w:eastAsia="仿宋" w:cs="仿宋"/>
          <w:color w:val="auto"/>
          <w:szCs w:val="21"/>
          <w:highlight w:val="none"/>
          <w:u w:val="single"/>
        </w:rPr>
        <w:t>（全称）  （盖单位章）</w:t>
      </w:r>
    </w:p>
    <w:p w14:paraId="33A55998">
      <w:pPr>
        <w:pStyle w:val="9"/>
        <w:outlineLvl w:val="4"/>
        <w:rPr>
          <w:rFonts w:hint="eastAsia" w:ascii="仿宋" w:hAnsi="仿宋" w:eastAsia="仿宋" w:cs="仿宋"/>
          <w:color w:val="auto"/>
          <w:highlight w:val="none"/>
        </w:rPr>
      </w:pPr>
      <w:r>
        <w:rPr>
          <w:rFonts w:hint="eastAsia" w:ascii="仿宋" w:hAnsi="仿宋" w:eastAsia="仿宋" w:cs="仿宋"/>
          <w:color w:val="auto"/>
          <w:sz w:val="21"/>
          <w:szCs w:val="21"/>
          <w:highlight w:val="none"/>
          <w:u w:val="single"/>
        </w:rPr>
        <w:br w:type="page"/>
      </w:r>
      <w:bookmarkStart w:id="29" w:name="_Toc250560969"/>
      <w:r>
        <w:rPr>
          <w:rFonts w:hint="eastAsia" w:ascii="仿宋" w:hAnsi="仿宋" w:eastAsia="仿宋" w:cs="仿宋"/>
          <w:color w:val="auto"/>
          <w:highlight w:val="none"/>
        </w:rPr>
        <w:t>附件三：安全生产合同</w:t>
      </w:r>
      <w:bookmarkEnd w:id="29"/>
    </w:p>
    <w:p w14:paraId="58C79BE6">
      <w:pPr>
        <w:spacing w:line="400" w:lineRule="exact"/>
        <w:rPr>
          <w:rFonts w:hint="eastAsia" w:ascii="仿宋" w:hAnsi="仿宋" w:eastAsia="仿宋" w:cs="仿宋"/>
          <w:color w:val="auto"/>
          <w:highlight w:val="none"/>
        </w:rPr>
      </w:pPr>
    </w:p>
    <w:p w14:paraId="2D6A8CCB">
      <w:pP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安全生产合同</w:t>
      </w:r>
    </w:p>
    <w:p w14:paraId="245A3669">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为在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施工合同的实施过程中创造安全、高效的施工环境，切实搞好本项目的安全管理工作，本项目发包人</w:t>
      </w:r>
      <w:r>
        <w:rPr>
          <w:rFonts w:hint="eastAsia" w:ascii="仿宋" w:hAnsi="仿宋" w:eastAsia="仿宋" w:cs="仿宋"/>
          <w:color w:val="auto"/>
          <w:szCs w:val="21"/>
          <w:highlight w:val="none"/>
          <w:u w:val="single"/>
        </w:rPr>
        <w:t>陕西省铜川公路管理局</w:t>
      </w:r>
      <w:r>
        <w:rPr>
          <w:rFonts w:hint="eastAsia" w:ascii="仿宋" w:hAnsi="仿宋" w:eastAsia="仿宋" w:cs="仿宋"/>
          <w:color w:val="auto"/>
          <w:szCs w:val="21"/>
          <w:highlight w:val="none"/>
        </w:rPr>
        <w:t>以下简称“发包人”）与承包人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（承包人名称，以下简称“承包人”）特此签订安全生产合同：</w:t>
      </w:r>
    </w:p>
    <w:p w14:paraId="2B045A59">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1.发包人职责</w:t>
      </w:r>
    </w:p>
    <w:p w14:paraId="4045A04C">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（1）严格遵守国家有关安全生产的法律法规，认真执行工程承包合同中的有关安全要求。</w:t>
      </w:r>
    </w:p>
    <w:p w14:paraId="0437AA58">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（2）按照“安全第一、预防为主、综合治理”和坚持“管生产必须管安全”的原则进行安全生产管理，做到生产与安全工作同时计划、布置、检查、总结和评比。</w:t>
      </w:r>
    </w:p>
    <w:p w14:paraId="14121BEE">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（3）重要的安全设施必须坚持与主体工程“三同时”的原则，即：同时设计、审批，同时施工，同时验收，投入使用。</w:t>
      </w:r>
    </w:p>
    <w:p w14:paraId="41E7C2D0">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（4）定期召开安全生产调度会，及时传达中央及地方有关安全生产的精神。</w:t>
      </w:r>
    </w:p>
    <w:p w14:paraId="1F1038E2">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（5）组织对承包人施工现场进行安全生产检查，监督承包人及时处理发现的各种安全隐患。</w:t>
      </w:r>
    </w:p>
    <w:p w14:paraId="7F16B3AA">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2.承包人职责</w:t>
      </w:r>
    </w:p>
    <w:p w14:paraId="76AEDB0A">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严格遵守《中华人民共和国安全生产法》、《建设工程安全生产管理条例》等国家有关安全生产的法律法规、《公路水运工程安全生产监督管理办法》、《公路工程施工安全技术规程》和《公路筑养路机械操作规程》等有关安全生产的规定。认真执行工程承包合同中的有关安全要求。</w:t>
      </w:r>
    </w:p>
    <w:p w14:paraId="6E512FF0">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坚持“安全第一、预防为主、综合治理”和“管生产必须管安全”的原则，加强安全生产宣传教育，增强全员安全生产意识，建立健全各项安全生产的管理机构和安全生产管理制度，配备专职及兼职安全检查人员，有组织有领导地开展生产活动。各级领导、工程技术人员、生产管理人员和具体操作人员，必须熟悉和遵守本合同的各项规定，做到生产与安全工作同时计划、布置、检查、总结和评比。</w:t>
      </w:r>
    </w:p>
    <w:p w14:paraId="478ABF09">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5BDC5DCD">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（4）承包人在任何时候都应采取各种合理的预防措施，防止其员工发生任何违法违禁、暴力或妨碍治安的行为。</w:t>
      </w:r>
    </w:p>
    <w:p w14:paraId="43B0E498">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承包人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4837711">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5F8FCB39">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（7）操作人员上岗，必须按规定穿戴防护用品。施工负责人和安全检查员应随时检查劳动防护用品的穿戴情况，不按规定穿戴防护用品的人员不得上岗。</w:t>
      </w:r>
    </w:p>
    <w:p w14:paraId="5385D8AD">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（8）所有施工机具设备和高空作业的设备均应定期检查，并有安全员的签字记录，保证其经常处于完好状态；不合格的机具、设备和劳动保护用品严禁使用。</w:t>
      </w:r>
    </w:p>
    <w:p w14:paraId="13A94B8F">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（9）施工中采取用新技术、新工艺、新设备、新材料时，必须制定相应的安全技术措施，施工现场必须具有相关的安全标志牌。</w:t>
      </w:r>
    </w:p>
    <w:p w14:paraId="64239FE6">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（10）承包人必须按照本工程项目特点，组织制定本工程实施中的生产安全事故应急救援预案；如果发生安全事故，应按照《国务院关于特大安全事故行政责任追究的规定》以及其他有关规定， 及时上报有关部门，并坚持“四不放过”的原则，严肃处理相关责任人。</w:t>
      </w:r>
    </w:p>
    <w:p w14:paraId="7C1032B7">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（11）安全生产费用按照《公路水运工程安全生产监督管理办法》的相关规定使用和管理。</w:t>
      </w:r>
    </w:p>
    <w:p w14:paraId="655C0CB6">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3.违约责任</w:t>
      </w:r>
    </w:p>
    <w:p w14:paraId="5AF582B3">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如因发包人或承包人违约造成安全事故，将依法追究责任。</w:t>
      </w:r>
    </w:p>
    <w:p w14:paraId="6BB7DE70">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4.本合同由双方法定代表人或其代理人签署并加盖单位章后生效，全部工程竣工验收后失效。</w:t>
      </w:r>
    </w:p>
    <w:p w14:paraId="3959D9C2">
      <w:pPr>
        <w:spacing w:line="440" w:lineRule="exact"/>
        <w:ind w:firstLine="539" w:firstLineChars="257"/>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5.本合同正本二份、副本</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份，合同双方各执正本一份，副本</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份，当正本与副本的内容不一致时，以正本为准。</w:t>
      </w:r>
    </w:p>
    <w:p w14:paraId="7E2836A5">
      <w:pPr>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（盖单位章）      承包人：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（盖单位章）</w:t>
      </w:r>
    </w:p>
    <w:p w14:paraId="3455F123">
      <w:pPr>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法定代表人或其委托代理人：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（签字）  法定代表人或其委托代理人：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（签字）</w:t>
      </w:r>
    </w:p>
    <w:p w14:paraId="776E33A1">
      <w:pPr>
        <w:ind w:firstLine="2415" w:firstLineChars="1150"/>
        <w:rPr>
          <w:rFonts w:hint="eastAsia" w:ascii="仿宋" w:hAnsi="仿宋" w:eastAsia="仿宋" w:cs="仿宋"/>
          <w:highlight w:val="none"/>
        </w:rPr>
      </w:pPr>
      <w:r>
        <w:rPr>
          <w:rFonts w:hint="eastAsia" w:ascii="仿宋" w:hAnsi="仿宋" w:eastAsia="仿宋" w:cs="仿宋"/>
          <w:color w:val="auto"/>
          <w:highlight w:val="none"/>
        </w:rPr>
        <w:t xml:space="preserve">  年     月     日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tabs>
          <w:tab w:val="left" w:pos="390"/>
        </w:tabs>
        <w:ind w:left="390" w:hanging="390"/>
      </w:pPr>
      <w:rPr>
        <w:rFonts w:hint="default"/>
      </w:rPr>
    </w:lvl>
    <w:lvl w:ilvl="1" w:tentative="0">
      <w:start w:val="1"/>
      <w:numFmt w:val="decimal"/>
      <w:lvlText w:val="%1.%2"/>
      <w:lvlJc w:val="left"/>
      <w:pPr>
        <w:tabs>
          <w:tab w:val="left" w:pos="810"/>
        </w:tabs>
        <w:ind w:left="810" w:hanging="390"/>
      </w:pPr>
      <w:rPr>
        <w:rFonts w:hint="default"/>
      </w:rPr>
    </w:lvl>
    <w:lvl w:ilvl="2" w:tentative="0">
      <w:start w:val="1"/>
      <w:numFmt w:val="decimal"/>
      <w:lvlText w:val="%1.%2.%3"/>
      <w:lvlJc w:val="left"/>
      <w:pPr>
        <w:tabs>
          <w:tab w:val="left" w:pos="1560"/>
        </w:tabs>
        <w:ind w:left="1560" w:hanging="720"/>
      </w:pPr>
      <w:rPr>
        <w:rFonts w:hint="default"/>
      </w:rPr>
    </w:lvl>
    <w:lvl w:ilvl="3" w:tentative="0">
      <w:start w:val="1"/>
      <w:numFmt w:val="decimal"/>
      <w:lvlText w:val="%1.%2.%3.%4"/>
      <w:lvlJc w:val="left"/>
      <w:pPr>
        <w:tabs>
          <w:tab w:val="left" w:pos="1980"/>
        </w:tabs>
        <w:ind w:left="1980" w:hanging="720"/>
      </w:pPr>
      <w:rPr>
        <w:rFonts w:hint="default"/>
      </w:rPr>
    </w:lvl>
    <w:lvl w:ilvl="4" w:tentative="0">
      <w:start w:val="1"/>
      <w:numFmt w:val="decimal"/>
      <w:lvlText w:val="%1.%2.%3.%4.%5"/>
      <w:lvlJc w:val="left"/>
      <w:pPr>
        <w:tabs>
          <w:tab w:val="left" w:pos="2760"/>
        </w:tabs>
        <w:ind w:left="2760" w:hanging="1080"/>
      </w:pPr>
      <w:rPr>
        <w:rFonts w:hint="default"/>
      </w:rPr>
    </w:lvl>
    <w:lvl w:ilvl="5" w:tentative="0">
      <w:start w:val="1"/>
      <w:numFmt w:val="decimal"/>
      <w:lvlText w:val="%1.%2.%3.%4.%5.%6"/>
      <w:lvlJc w:val="left"/>
      <w:pPr>
        <w:tabs>
          <w:tab w:val="left" w:pos="3180"/>
        </w:tabs>
        <w:ind w:left="3180" w:hanging="1080"/>
      </w:pPr>
      <w:rPr>
        <w:rFonts w:hint="default"/>
      </w:rPr>
    </w:lvl>
    <w:lvl w:ilvl="6" w:tentative="0">
      <w:start w:val="1"/>
      <w:numFmt w:val="decimal"/>
      <w:lvlText w:val="%1.%2.%3.%4.%5.%6.%7"/>
      <w:lvlJc w:val="left"/>
      <w:pPr>
        <w:tabs>
          <w:tab w:val="left" w:pos="3600"/>
        </w:tabs>
        <w:ind w:left="3600" w:hanging="1080"/>
      </w:pPr>
      <w:rPr>
        <w:rFonts w:hint="default"/>
      </w:rPr>
    </w:lvl>
    <w:lvl w:ilvl="7" w:tentative="0">
      <w:start w:val="1"/>
      <w:numFmt w:val="decimal"/>
      <w:lvlText w:val="%1.%2.%3.%4.%5.%6.%7.%8"/>
      <w:lvlJc w:val="left"/>
      <w:pPr>
        <w:tabs>
          <w:tab w:val="left" w:pos="4380"/>
        </w:tabs>
        <w:ind w:left="4380" w:hanging="1440"/>
      </w:pPr>
      <w:rPr>
        <w:rFonts w:hint="default"/>
      </w:rPr>
    </w:lvl>
    <w:lvl w:ilvl="8" w:tentative="0">
      <w:start w:val="1"/>
      <w:numFmt w:val="decimal"/>
      <w:lvlText w:val="%1.%2.%3.%4.%5.%6.%7.%8.%9"/>
      <w:lvlJc w:val="left"/>
      <w:pPr>
        <w:tabs>
          <w:tab w:val="left" w:pos="4800"/>
        </w:tabs>
        <w:ind w:left="480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0D329A"/>
    <w:rsid w:val="0464283F"/>
    <w:rsid w:val="16AC6DE4"/>
    <w:rsid w:val="27AA56E5"/>
    <w:rsid w:val="2B400BF9"/>
    <w:rsid w:val="75663A41"/>
    <w:rsid w:val="760D3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spacing w:after="120"/>
    </w:pPr>
  </w:style>
  <w:style w:type="paragraph" w:customStyle="1" w:styleId="8">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bCs w:val="0"/>
      <w:sz w:val="28"/>
      <w:szCs w:val="20"/>
    </w:rPr>
  </w:style>
  <w:style w:type="paragraph" w:customStyle="1" w:styleId="9">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13405</Words>
  <Characters>14032</Characters>
  <Lines>0</Lines>
  <Paragraphs>0</Paragraphs>
  <TotalTime>6</TotalTime>
  <ScaleCrop>false</ScaleCrop>
  <LinksUpToDate>false</LinksUpToDate>
  <CharactersWithSpaces>14789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2026-08-17T01:46:00Z</dcterms:created>
  <dc:creator>小宝快跑</dc:creator>
  <cp:lastModifiedBy>小宝快跑</cp:lastModifiedBy>
  <dcterms:modified xsi:type="dcterms:W3CDTF">2026-08-17T02:56:03Z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4930C931A01E4EEFA61D51A5BC8537F6_11</vt:lpwstr>
  </property>
  <property fmtid="{D5CDD505-2E9C-101B-9397-08002B2CF9AE}" pid="4" name="KSOTemplateDocerSaveRecord">
    <vt:lpwstr>eyJoZGlkIjoiYTQ2YWYyMmZiOTA2YjA1NTM3Yzk0ZjY3OGRkNTgyODIiLCJ1c2VySWQiOiI0MTgyMDMxNzYifQ==</vt:lpwstr>
  </property>
</Properties>
</file>