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51E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技术要求</w:t>
      </w:r>
    </w:p>
    <w:bookmarkEnd w:id="0"/>
    <w:p w14:paraId="4FBEC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  <w:t>一、项目概况与总体要求</w:t>
      </w:r>
    </w:p>
    <w:p w14:paraId="62433E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1、项目名称：澄城县 2026 年度农村供水水质检测项目</w:t>
      </w:r>
    </w:p>
    <w:p w14:paraId="138AAA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2、服务范围：澄城县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全县70 处千人以上农村集中供水工程</w:t>
      </w:r>
    </w:p>
    <w:p w14:paraId="01A6E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3、检测对象：各供水工程（70处）出厂水、末梢水</w:t>
      </w:r>
    </w:p>
    <w:p w14:paraId="29CB7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4、检测频次：对检测对象进行丰水期1</w:t>
      </w: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次、枯水期 1 次，共2次全项目检测</w:t>
      </w:r>
    </w:p>
    <w:p w14:paraId="401F1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5、服务期限：自合同签订之日起3 个月内完成全部检测、报告编制与交付。</w:t>
      </w:r>
    </w:p>
    <w:p w14:paraId="5D48D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6、服务地点：渭南市澄城县（采购人指定点位）</w:t>
      </w:r>
    </w:p>
    <w:p w14:paraId="3EB8BF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7、服务标准：符合《生活饮用水标准检验方法》GB/T 5750-2023及相关规范要求。</w:t>
      </w:r>
    </w:p>
    <w:p w14:paraId="682F92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8、检测机构严格遵循国家法律法规、检测标准及相关规定开展全流程检测服务。</w:t>
      </w:r>
    </w:p>
    <w:p w14:paraId="705F6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9、实验室建立完善的质量管理体系，符合ISO 17025相关规范要求。</w:t>
      </w:r>
    </w:p>
    <w:p w14:paraId="500FE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lang w:val="en-US" w:eastAsia="zh-CN"/>
        </w:rPr>
        <w:t>二、执行标准与规范</w:t>
      </w:r>
    </w:p>
    <w:p w14:paraId="69A7D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本项目所有检测活动、采样、运输、实验室分析、结果判定、报告编制均须严格执行以下现行有效标准：</w:t>
      </w:r>
    </w:p>
    <w:p w14:paraId="43E9E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《生活饮用水卫生标准》（GB 5749-2022）</w:t>
      </w:r>
    </w:p>
    <w:p w14:paraId="11716A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《生活饮用水标准检验方法》（GB/T 5750-2023）</w:t>
      </w:r>
    </w:p>
    <w:p w14:paraId="74EB4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《村镇供水工程技术规范》（SL 310-2019）</w:t>
      </w:r>
    </w:p>
    <w:p w14:paraId="05679F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《机井技术规范》（GB/T 50625-2010）</w:t>
      </w:r>
    </w:p>
    <w:p w14:paraId="66B78E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国家、行业、陕西省及渭南市关于饮用水检测、质量控制、实验室管理的其他现行有效规定。</w:t>
      </w:r>
    </w:p>
    <w:p w14:paraId="62D137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  <w:t>三、检测项目与参数要求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895"/>
        <w:gridCol w:w="4763"/>
      </w:tblGrid>
      <w:tr w14:paraId="2C253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Align w:val="center"/>
          </w:tcPr>
          <w:p w14:paraId="198CD8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序号</w:t>
            </w:r>
          </w:p>
        </w:tc>
        <w:tc>
          <w:tcPr>
            <w:tcW w:w="2895" w:type="dxa"/>
            <w:vAlign w:val="center"/>
          </w:tcPr>
          <w:p w14:paraId="5E8D6F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指标</w:t>
            </w:r>
          </w:p>
        </w:tc>
        <w:tc>
          <w:tcPr>
            <w:tcW w:w="4763" w:type="dxa"/>
            <w:vAlign w:val="center"/>
          </w:tcPr>
          <w:p w14:paraId="2286F1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检测项目</w:t>
            </w:r>
          </w:p>
        </w:tc>
      </w:tr>
      <w:tr w14:paraId="0F43E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restart"/>
            <w:vAlign w:val="center"/>
          </w:tcPr>
          <w:p w14:paraId="7D522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2895" w:type="dxa"/>
            <w:vMerge w:val="restart"/>
            <w:vAlign w:val="center"/>
          </w:tcPr>
          <w:p w14:paraId="35A220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微生物指标</w:t>
            </w:r>
          </w:p>
        </w:tc>
        <w:tc>
          <w:tcPr>
            <w:tcW w:w="4763" w:type="dxa"/>
            <w:vAlign w:val="center"/>
          </w:tcPr>
          <w:p w14:paraId="28AD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总大肠菌群</w:t>
            </w:r>
          </w:p>
        </w:tc>
      </w:tr>
      <w:tr w14:paraId="27FB4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3DE9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18830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73583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大肠埃希氏菌</w:t>
            </w:r>
          </w:p>
        </w:tc>
      </w:tr>
      <w:tr w14:paraId="242EE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0EC6B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6CA79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6B287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菌落总数</w:t>
            </w:r>
          </w:p>
        </w:tc>
      </w:tr>
      <w:tr w14:paraId="42091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restart"/>
            <w:vAlign w:val="center"/>
          </w:tcPr>
          <w:p w14:paraId="7D566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2895" w:type="dxa"/>
            <w:vMerge w:val="restart"/>
            <w:vAlign w:val="center"/>
          </w:tcPr>
          <w:p w14:paraId="6DC9A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毒理指标</w:t>
            </w:r>
          </w:p>
        </w:tc>
        <w:tc>
          <w:tcPr>
            <w:tcW w:w="4763" w:type="dxa"/>
            <w:vAlign w:val="center"/>
          </w:tcPr>
          <w:p w14:paraId="3D8348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砷（As）</w:t>
            </w:r>
          </w:p>
        </w:tc>
      </w:tr>
      <w:tr w14:paraId="5C4DA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34F043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3DE77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747F4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镉（Cd）</w:t>
            </w:r>
          </w:p>
        </w:tc>
      </w:tr>
      <w:tr w14:paraId="2148F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18B6E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48A96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64F965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铬（六价）</w:t>
            </w:r>
          </w:p>
        </w:tc>
      </w:tr>
      <w:tr w14:paraId="1556D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0ECC6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52846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10642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铅（Pb）</w:t>
            </w:r>
          </w:p>
        </w:tc>
      </w:tr>
      <w:tr w14:paraId="1FE90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0AF85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567BD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43B71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汞（Hg）</w:t>
            </w:r>
          </w:p>
        </w:tc>
      </w:tr>
      <w:tr w14:paraId="5000C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6DF61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2B38C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3492EC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氰化物</w:t>
            </w:r>
          </w:p>
        </w:tc>
      </w:tr>
      <w:tr w14:paraId="4904E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22C59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40CE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3C315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氟化物</w:t>
            </w:r>
          </w:p>
        </w:tc>
      </w:tr>
      <w:tr w14:paraId="4C0BC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18FF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043A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20CEDC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硝酸盐（以N计）</w:t>
            </w:r>
          </w:p>
        </w:tc>
      </w:tr>
      <w:tr w14:paraId="21D62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DCE2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196DB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2F68A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三氯甲烷</w:t>
            </w:r>
          </w:p>
        </w:tc>
      </w:tr>
      <w:tr w14:paraId="6837C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3C3C9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730C2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3E3ED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一氯二溴甲烷</w:t>
            </w:r>
          </w:p>
        </w:tc>
      </w:tr>
      <w:tr w14:paraId="0E65F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583B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03B0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53B430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二氯一溴甲烷</w:t>
            </w:r>
          </w:p>
        </w:tc>
      </w:tr>
      <w:tr w14:paraId="3E5A6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24553D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4ABA4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7094F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三溴甲烷</w:t>
            </w:r>
          </w:p>
        </w:tc>
      </w:tr>
      <w:tr w14:paraId="27B01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2479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627B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34E9E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三卤甲烷</w:t>
            </w:r>
          </w:p>
        </w:tc>
      </w:tr>
      <w:tr w14:paraId="2153E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78CF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178E1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7F8C2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二氯乙酸</w:t>
            </w:r>
          </w:p>
        </w:tc>
      </w:tr>
      <w:tr w14:paraId="26C7F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5AC1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36D87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04A23E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三氯乙酸</w:t>
            </w:r>
          </w:p>
        </w:tc>
      </w:tr>
      <w:tr w14:paraId="17D70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108E1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24721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017EA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溴酸盐</w:t>
            </w:r>
          </w:p>
        </w:tc>
      </w:tr>
      <w:tr w14:paraId="595E4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1994D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7AE6A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7D14B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亚氯酸盐</w:t>
            </w:r>
          </w:p>
        </w:tc>
      </w:tr>
      <w:tr w14:paraId="50CAF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480E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5EA2C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27AA1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氯酸盐</w:t>
            </w:r>
          </w:p>
        </w:tc>
      </w:tr>
      <w:tr w14:paraId="1699C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restart"/>
            <w:vAlign w:val="center"/>
          </w:tcPr>
          <w:p w14:paraId="77951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2895" w:type="dxa"/>
            <w:vMerge w:val="restart"/>
            <w:vAlign w:val="center"/>
          </w:tcPr>
          <w:p w14:paraId="5561E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感官性状和一般化学指标</w:t>
            </w:r>
          </w:p>
        </w:tc>
        <w:tc>
          <w:tcPr>
            <w:tcW w:w="4763" w:type="dxa"/>
            <w:vAlign w:val="center"/>
          </w:tcPr>
          <w:p w14:paraId="2E0F45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色度</w:t>
            </w:r>
          </w:p>
        </w:tc>
      </w:tr>
      <w:tr w14:paraId="4AB73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44920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1BA58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00F96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浑浊度</w:t>
            </w:r>
          </w:p>
        </w:tc>
      </w:tr>
      <w:tr w14:paraId="64B0D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4EF41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742AB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148D39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臭和味</w:t>
            </w:r>
          </w:p>
        </w:tc>
      </w:tr>
      <w:tr w14:paraId="5F275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30F32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01306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27321E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肉眼可见物</w:t>
            </w:r>
          </w:p>
        </w:tc>
      </w:tr>
      <w:tr w14:paraId="66484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A75D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164C3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7B9717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pH值</w:t>
            </w:r>
          </w:p>
        </w:tc>
      </w:tr>
      <w:tr w14:paraId="3DF7B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15158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0FABC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3AE4FE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铝（Al）</w:t>
            </w:r>
          </w:p>
        </w:tc>
      </w:tr>
      <w:tr w14:paraId="4A376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74E3E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10F42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56C9D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铁（Fe）</w:t>
            </w:r>
          </w:p>
        </w:tc>
      </w:tr>
      <w:tr w14:paraId="65700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20272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44FDD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0A864F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锰（Mn）</w:t>
            </w:r>
          </w:p>
        </w:tc>
      </w:tr>
      <w:tr w14:paraId="13E2D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6C9C4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4F13E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78B4E3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铜（Cu）</w:t>
            </w:r>
          </w:p>
        </w:tc>
      </w:tr>
      <w:tr w14:paraId="081CB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4E636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6F4D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0479AE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锌（Zn）</w:t>
            </w:r>
          </w:p>
        </w:tc>
      </w:tr>
      <w:tr w14:paraId="72204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7B3410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222550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624892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氯化物</w:t>
            </w:r>
          </w:p>
        </w:tc>
      </w:tr>
      <w:tr w14:paraId="6D8FC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053E0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49676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4366B0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硫酸盐</w:t>
            </w:r>
          </w:p>
        </w:tc>
      </w:tr>
      <w:tr w14:paraId="2DAAE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79FE4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695AD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025D27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溶解性总固体</w:t>
            </w:r>
          </w:p>
        </w:tc>
      </w:tr>
      <w:tr w14:paraId="052DF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4303FC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603CE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279B73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总硬度</w:t>
            </w:r>
          </w:p>
        </w:tc>
      </w:tr>
      <w:tr w14:paraId="01AB2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316F8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1C17D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5BD5A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高锰酸盐指数</w:t>
            </w:r>
          </w:p>
        </w:tc>
      </w:tr>
      <w:tr w14:paraId="33C1C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4F005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26353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128729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氨</w:t>
            </w:r>
          </w:p>
        </w:tc>
      </w:tr>
      <w:tr w14:paraId="13111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restart"/>
            <w:vAlign w:val="center"/>
          </w:tcPr>
          <w:p w14:paraId="1E9CC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895" w:type="dxa"/>
            <w:vMerge w:val="restart"/>
            <w:vAlign w:val="center"/>
          </w:tcPr>
          <w:p w14:paraId="6B2CF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放射性指标</w:t>
            </w:r>
          </w:p>
        </w:tc>
        <w:tc>
          <w:tcPr>
            <w:tcW w:w="4763" w:type="dxa"/>
            <w:vAlign w:val="center"/>
          </w:tcPr>
          <w:p w14:paraId="0F0006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总α放射性</w:t>
            </w:r>
          </w:p>
        </w:tc>
      </w:tr>
      <w:tr w14:paraId="664FF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7C5A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45547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6A34EB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总β放射性</w:t>
            </w:r>
          </w:p>
        </w:tc>
      </w:tr>
      <w:tr w14:paraId="4A102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restart"/>
            <w:vAlign w:val="center"/>
          </w:tcPr>
          <w:p w14:paraId="75B9B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2895" w:type="dxa"/>
            <w:vMerge w:val="restart"/>
            <w:vAlign w:val="center"/>
          </w:tcPr>
          <w:p w14:paraId="19A31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消毒剂常规指标</w:t>
            </w:r>
          </w:p>
        </w:tc>
        <w:tc>
          <w:tcPr>
            <w:tcW w:w="4763" w:type="dxa"/>
            <w:vAlign w:val="center"/>
          </w:tcPr>
          <w:p w14:paraId="0B9B2F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游离氯</w:t>
            </w:r>
          </w:p>
        </w:tc>
      </w:tr>
      <w:tr w14:paraId="2C2CB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51AFA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355CC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3824C3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总氯</w:t>
            </w:r>
          </w:p>
        </w:tc>
      </w:tr>
      <w:tr w14:paraId="344E9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286F5B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2F97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120B8E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臭氧</w:t>
            </w:r>
          </w:p>
        </w:tc>
      </w:tr>
      <w:tr w14:paraId="455AC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64" w:type="dxa"/>
            <w:vMerge w:val="continue"/>
            <w:vAlign w:val="center"/>
          </w:tcPr>
          <w:p w14:paraId="67D1E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895" w:type="dxa"/>
            <w:vMerge w:val="continue"/>
            <w:vAlign w:val="center"/>
          </w:tcPr>
          <w:p w14:paraId="049FF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00" w:firstLineChars="20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763" w:type="dxa"/>
            <w:vAlign w:val="center"/>
          </w:tcPr>
          <w:p w14:paraId="06B953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二氧化氯</w:t>
            </w:r>
          </w:p>
        </w:tc>
      </w:tr>
    </w:tbl>
    <w:p w14:paraId="58956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其他专项指标：可依据采购人需求适当增补。检测机构均严格采用国家现行有效标准方法，不得擅自变更检测依据。</w:t>
      </w:r>
    </w:p>
    <w:p w14:paraId="798F1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lang w:val="en-US" w:eastAsia="zh-CN"/>
        </w:rPr>
        <w:t>四、服务范围</w:t>
      </w:r>
    </w:p>
    <w:p w14:paraId="3DB6B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包含现场水样采集、样品运输与留存、实验室检测分析、数据汇总审核、检测报告编制出具、数据复核、配合验收及监管检查、技术咨询指导等全流程服务。</w:t>
      </w:r>
    </w:p>
    <w:p w14:paraId="5F9CEF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lang w:val="en-US" w:eastAsia="zh-CN"/>
        </w:rPr>
        <w:t>五、采样技术要求</w:t>
      </w:r>
    </w:p>
    <w:p w14:paraId="50B5D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1、采样点位：严格按照采购人提供的 70 处采集点位，每处工程至少采集出厂水 1 份、末梢水 1 份/70处，服务期内至少2次；点位须覆盖工程真实供水条件。</w:t>
      </w:r>
    </w:p>
    <w:p w14:paraId="12DD7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2、采样时机：丰水期、枯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水期各 1 次，采样时间、地点、次数服从采购人统一调度与现场实际情况（如水质投诉、水质异常、甲方临时需求等应急检测）。</w:t>
      </w:r>
    </w:p>
    <w:p w14:paraId="61E1B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3、采样方法：按《生活饮用水标准检验方法》GB/T 5750-2023执行，规范清洗、润洗、固定、避光、冷藏、密封、标识。</w:t>
      </w:r>
    </w:p>
    <w:p w14:paraId="126714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4、样品标识：统一编号，标注采样名称、采样点位、采样日期、时间、采样人、水温、天气等信息。</w:t>
      </w:r>
    </w:p>
    <w:p w14:paraId="211CC3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5、样品运输：使用符合要求的冷藏运输箱，微生物样品 2–8℃冷藏避光，按规定时限送达实验室，防止污染、变质、失效。</w:t>
      </w:r>
    </w:p>
    <w:p w14:paraId="220DB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6、采样记录：现场填写《水质采样记录表》，完整记录信息，签字确认，随样品一并移交。</w:t>
      </w:r>
    </w:p>
    <w:p w14:paraId="18B246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lang w:val="en-US" w:eastAsia="zh-CN"/>
        </w:rPr>
        <w:t>六、实验室检测技术要求</w:t>
      </w:r>
    </w:p>
    <w:p w14:paraId="379E64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1、实验室分区规范，具备防交叉污染、恒温、无菌等实验条件，系统具备数据自动留存、防篡改功能，全流程可溯源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；</w:t>
      </w:r>
    </w:p>
    <w:p w14:paraId="0C41799B">
      <w:pPr>
        <w:ind w:firstLine="400" w:firstLineChars="200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2、检测方法：必须采用GB/T 5750-2023规定的标准方法，不得随意替代；</w:t>
      </w:r>
    </w:p>
    <w:p w14:paraId="270C5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 xml:space="preserve">3、质量控制 </w:t>
      </w:r>
    </w:p>
    <w:p w14:paraId="2B5E5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00" w:firstLineChars="3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①每批次须做空白试验、平行双样、加标回收/标准物质质控；</w:t>
      </w:r>
    </w:p>
    <w:p w14:paraId="6AE7A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00" w:firstLineChars="3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②关键指标做实验室内部比对、人员比对、仪器比对；</w:t>
      </w:r>
    </w:p>
    <w:p w14:paraId="10818E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00" w:firstLineChars="3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③异常数据按规范复核、复检，保留完整记录。</w:t>
      </w:r>
    </w:p>
    <w:p w14:paraId="157FA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4、数据处理：原始记录清晰可追溯，数据修约、计算、判定符合标准要求，不得篡改、编造数据。</w:t>
      </w:r>
    </w:p>
    <w:p w14:paraId="396C5F6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400" w:lineRule="exact"/>
        <w:ind w:left="0" w:right="0"/>
        <w:textAlignment w:val="auto"/>
        <w:rPr>
          <w:rFonts w:hint="eastAsia" w:ascii="仿宋" w:hAnsi="仿宋" w:eastAsia="仿宋" w:cs="仿宋"/>
          <w:b/>
          <w:bCs/>
          <w:color w:val="000000"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color w:val="000000"/>
          <w:sz w:val="20"/>
          <w:szCs w:val="20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color w:val="000000"/>
          <w:sz w:val="20"/>
          <w:szCs w:val="20"/>
        </w:rPr>
        <w:t>、检测报告要求</w:t>
      </w:r>
    </w:p>
    <w:p w14:paraId="0E28B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>1、报告内容 ：采样名称、地址、采样点位、日期、检测日期、检测依据、样品信息、检测项目、结果、单位、标准限值、单项判定、综合结论、采样人、分析人、审核人、批准人签字，加盖 CMA 检验检测专用章。</w:t>
      </w:r>
    </w:p>
    <w:p w14:paraId="5DC6F7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0"/>
          <w:szCs w:val="20"/>
          <w:lang w:val="en-US" w:eastAsia="zh-CN"/>
        </w:rPr>
        <w:t xml:space="preserve">2、报告格式：统一规范、清晰易懂，一式陆份（纸质）+ 电子版（PDF + 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可编辑版）</w:t>
      </w:r>
    </w:p>
    <w:p w14:paraId="18B16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3、交付时限：每批次采样完成后15 个工作日内提交正式报告；全部检测完成后 3 日内提交汇总报告与分析说明。</w:t>
      </w:r>
    </w:p>
    <w:p w14:paraId="418E4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4、报告效力：具有法律效力，对数据真实性、准确性、公正性终身负责。</w:t>
      </w:r>
    </w:p>
    <w:p w14:paraId="50EB5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lang w:val="en-US" w:eastAsia="zh-CN" w:bidi="ar-SA"/>
        </w:rPr>
        <w:t>八、服务方案</w:t>
      </w:r>
    </w:p>
    <w:p w14:paraId="02596C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1.检测机构须具备完整的管理制度，不限于人员、设备、实验室、试剂耗材、操作规范等；</w:t>
      </w:r>
    </w:p>
    <w:p w14:paraId="3372F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2.对本次检测工作制定详细完整的水样采集、样品接收检验、分区编号管理、样品台账、实验室检测与质量控制、仪器设备核查校验、 数据审核与报告出具等；</w:t>
      </w:r>
    </w:p>
    <w:p w14:paraId="022D2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3.针对水质异常、突发污染、专项督查等应急场景，设立应急服务小组，7×24小时响应，快速完成采样、加急检测，第一时间反馈数据与初步研判。</w:t>
      </w:r>
    </w:p>
    <w:p w14:paraId="30CF8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4. 建立完善的质量保障体系，定期开展内部审核、管理评审，持续优化改进，做到所有作业环节有据可查、有责可追；</w:t>
      </w:r>
    </w:p>
    <w:p w14:paraId="52C97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5.对样品、原始记录、电子数据、报告分类归档，保存期限符合法规及档案管理要求；</w:t>
      </w:r>
    </w:p>
    <w:p w14:paraId="63759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6.严禁篡改、伪造、删减检测数据与原始记录，一经发现按内部制度及法规严肃处理；报告补发、更正执行专项流程，留存更正记录；</w:t>
      </w:r>
    </w:p>
    <w:p w14:paraId="221AC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7.风控管理严格，坚决杜绝超CMA资质范围开展检测行为，所有对外出具报告均加盖CMA章，无资质参数绝不纳入检测范围；</w:t>
      </w:r>
    </w:p>
    <w:p w14:paraId="5D3C9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8.全程配合采购项目验收、资料核查、现场核查；主动配合财政、市场监管、生态环境等主管部门监督检查，及时提供资质、记录、报告等佐证材料；</w:t>
      </w:r>
    </w:p>
    <w:p w14:paraId="511B3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9.针对检测结果、标准解读、水质状况等问题，安排专业技术人员免费提供答疑、技术指导服务；</w:t>
      </w:r>
    </w:p>
    <w:p w14:paraId="65A95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10.提供售后服务与报告异议处理方案、免费技术回访服务，定期回访，了解服务体验，收集意见并优化服务；</w:t>
      </w:r>
    </w:p>
    <w:p w14:paraId="228089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11.现场采样遵守交通安全、作业安全相关规定，配备防护用品；实验室严格执行危化品、废液、固废管理规定，分类收集、合规处置，防范安全事故；</w:t>
      </w:r>
    </w:p>
    <w:p w14:paraId="779A6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12.对项目点位、检测数据、报告内容、采购方业务信息严格保密，不向第三方泄露；电子数据设置权限管控，纸质资料专人保管，项目结束后不私自留存、外传相关涉密资料；</w:t>
      </w:r>
    </w:p>
    <w:p w14:paraId="282D8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lang w:val="en-US" w:eastAsia="zh-CN"/>
        </w:rPr>
        <w:t>13. 采样记录、原始实验记录、质控记录、检测报告、资质证书、设备校准证书等资料统一立卷归档，按规定保存，随时配合采购方及监管部门调阅、检查等。</w:t>
      </w:r>
    </w:p>
    <w:p w14:paraId="328DFB0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F97C40"/>
    <w:rsid w:val="03F9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line="360" w:lineRule="auto"/>
      <w:outlineLvl w:val="1"/>
    </w:pPr>
    <w:rPr>
      <w:rFonts w:ascii="宋体" w:hAnsi="宋体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2026-05-27T10:54:00Z</dcterms:created>
  <dc:creator>左左</dc:creator>
  <cp:lastModifiedBy>左左</cp:lastModifiedBy>
  <dcterms:modified xsi:type="dcterms:W3CDTF">2026-05-27T10:54:31Z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5F49EFC507E74966A6EA2832F28BF322_11</vt:lpwstr>
  </property>
  <property fmtid="{D5CDD505-2E9C-101B-9397-08002B2CF9AE}" pid="4" name="KSOTemplateDocerSaveRecord">
    <vt:lpwstr>eyJoZGlkIjoiZGZlYjlmYzU0NTZkNzRhYTRiMjM2MDkxNzQwYjkxNjQiLCJ1c2VySWQiOiI1NzY5ODc4MzkifQ==</vt:lpwstr>
  </property>
</Properties>
</file>