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版本号：SXLX-GC-2026-06420260825002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医疗大楼维修改造项目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SXLX-GC-2026-064</w:t>
      </w:r>
      <w:r>
        <w:br/>
      </w:r>
      <w:r>
        <w:br/>
      </w:r>
      <w:r>
        <w:br/>
      </w:r>
    </w:p>
    <w:p>
      <w:pPr>
        <w:pStyle w:val="null3"/>
        <w:jc w:val="center"/>
        <w:outlineLvl w:val="2"/>
      </w:pPr>
      <w:r>
        <w:rPr>
          <w:rFonts w:ascii="仿宋_GB2312" w:hAnsi="仿宋_GB2312" w:cs="仿宋_GB2312" w:eastAsia="仿宋_GB2312"/>
          <w:sz w:val="28"/>
          <w:b/>
        </w:rPr>
        <w:t>陕西省荣誉军人康复医院</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陕西省荣誉军人康复医院</w:t>
      </w:r>
      <w:r>
        <w:rPr>
          <w:rFonts w:ascii="仿宋_GB2312" w:hAnsi="仿宋_GB2312" w:cs="仿宋_GB2312" w:eastAsia="仿宋_GB2312"/>
        </w:rPr>
        <w:t>委托，拟对</w:t>
      </w:r>
      <w:r>
        <w:rPr>
          <w:rFonts w:ascii="仿宋_GB2312" w:hAnsi="仿宋_GB2312" w:cs="仿宋_GB2312" w:eastAsia="仿宋_GB2312"/>
        </w:rPr>
        <w:t>医疗大楼维修改造项目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SXLX-GC-2026-064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医疗大楼维修改造项目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本工程为陕西省荣誉军人康复医院医疗大楼维修改造项目。主要包括医疗楼范围内拆除工程、装饰装修工程、强电工程、弱电工程、玻璃改造工程等内容。具体要求详见工程量清单。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2、法定代表人授权书/法定代表人身份证明：法定代表人参加磋商的，须出具法定代表人身份证明书及身份证。法定代表人授权委托人参加磋商的，须出具法定代表人授权委托书及授权委托人身份证；</w:t>
      </w:r>
    </w:p>
    <w:p>
      <w:pPr>
        <w:pStyle w:val="null3"/>
      </w:pPr>
      <w:r>
        <w:rPr>
          <w:rFonts w:ascii="仿宋_GB2312" w:hAnsi="仿宋_GB2312" w:cs="仿宋_GB2312" w:eastAsia="仿宋_GB2312"/>
        </w:rPr>
        <w:t>3、财务状况报告：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4、企业资质：供应商须具备相关行政主管部门颁发的建筑工程施工总承包三级以上(含三级)资质或建筑装修装饰工程专业承包二级以上（含二级）资质，并具备有效的安全生产许可证；</w:t>
      </w:r>
    </w:p>
    <w:p>
      <w:pPr>
        <w:pStyle w:val="null3"/>
      </w:pPr>
      <w:r>
        <w:rPr>
          <w:rFonts w:ascii="仿宋_GB2312" w:hAnsi="仿宋_GB2312" w:cs="仿宋_GB2312" w:eastAsia="仿宋_GB2312"/>
        </w:rPr>
        <w:t>5、项目经理：拟派项目经理须具备建筑工程专业二级以上（含二级）注册建造师资格，在本单位注册，同时具备有效的安全生产考核合格证书，且未担任其他在施建设工程项目的项目经理；</w:t>
      </w:r>
    </w:p>
    <w:p>
      <w:pPr>
        <w:pStyle w:val="null3"/>
      </w:pPr>
      <w:r>
        <w:rPr>
          <w:rFonts w:ascii="仿宋_GB2312" w:hAnsi="仿宋_GB2312" w:cs="仿宋_GB2312" w:eastAsia="仿宋_GB2312"/>
        </w:rPr>
        <w:t>6、税收缴纳证明：提供递交响应文件截止之日前一年内任意一个月的依法缴纳税收的相关凭据（时间以税款所属日期为准），依法免税或无须缴纳税收的供应商应提供相应证明文件；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7、社会保障资金缴纳证明：提供递交响应文件截止之日前一年内任意一个月的社会保障资金缴纳证明，依法不需要缴纳社会保障资金的供应商应提供相关文件证明；</w:t>
      </w:r>
    </w:p>
    <w:p>
      <w:pPr>
        <w:pStyle w:val="null3"/>
      </w:pPr>
      <w:r>
        <w:rPr>
          <w:rFonts w:ascii="仿宋_GB2312" w:hAnsi="仿宋_GB2312" w:cs="仿宋_GB2312" w:eastAsia="仿宋_GB2312"/>
        </w:rPr>
        <w:t>8、前三年无重大违法记录声明：参加政府采购活动前3年内在经营活动中没有重大违法记录的书面声明；</w:t>
      </w:r>
    </w:p>
    <w:p>
      <w:pPr>
        <w:pStyle w:val="null3"/>
      </w:pPr>
      <w:r>
        <w:rPr>
          <w:rFonts w:ascii="仿宋_GB2312" w:hAnsi="仿宋_GB2312" w:cs="仿宋_GB2312" w:eastAsia="仿宋_GB2312"/>
        </w:rPr>
        <w:t>9、履行合同所必需的设备和专业技术能力：具备履行合同所必需的设备和专业技术能力的承诺；</w:t>
      </w:r>
    </w:p>
    <w:p>
      <w:pPr>
        <w:pStyle w:val="null3"/>
      </w:pPr>
      <w:r>
        <w:rPr>
          <w:rFonts w:ascii="仿宋_GB2312" w:hAnsi="仿宋_GB2312" w:cs="仿宋_GB2312" w:eastAsia="仿宋_GB2312"/>
        </w:rPr>
        <w:t>10、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p>
      <w:pPr>
        <w:pStyle w:val="null3"/>
      </w:pPr>
      <w:r>
        <w:rPr>
          <w:rFonts w:ascii="仿宋_GB2312" w:hAnsi="仿宋_GB2312" w:cs="仿宋_GB2312" w:eastAsia="仿宋_GB2312"/>
        </w:rPr>
        <w:t>11、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陕西省荣誉军人康复医院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陕西省华阴市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员科长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0913-4363333-5073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西安市雁塔区太白南路39号金石柏朗大厦12层1201室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孔祥妍、解东、李娇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改委办公厅颁发的《关于招标代理服务收费有关问题的通知》（发改办价格〔2003〕857号）文件规定计取，不足10000元的按10000元收取。成交单位在领取成交通知书时向代理机构支付代理服务费。 缴纳账户如下： 户名：陕西立信工程项目管理有限公司 账号：129903881810301 开户行：招商银行西安朝阳门支行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陕西省荣誉军人康复医院</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陕西省荣誉军人康复医院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陕西省荣誉军人康复医院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满⾜采购需求，符合国家相关⾏业标准。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联系人：孔祥妍、解东、李娇</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地址：西安市雁塔区太白南路39号金石柏朗大厦12层1201室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940,000.00</w:t>
      </w:r>
    </w:p>
    <w:p>
      <w:pPr>
        <w:pStyle w:val="null3"/>
      </w:pPr>
      <w:r>
        <w:rPr>
          <w:rFonts w:ascii="仿宋_GB2312" w:hAnsi="仿宋_GB2312" w:cs="仿宋_GB2312" w:eastAsia="仿宋_GB2312"/>
        </w:rPr>
        <w:t>采购包最高限价（元）: 940,000.00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医疗楼维修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标的名称：医疗楼维修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一、项目概况</w:t>
            </w:r>
          </w:p>
          <w:p>
            <w:pPr>
              <w:pStyle w:val="null3"/>
            </w:pPr>
            <w:r>
              <w:rPr>
                <w:rFonts w:ascii="仿宋_GB2312" w:hAnsi="仿宋_GB2312" w:cs="仿宋_GB2312" w:eastAsia="仿宋_GB2312"/>
                <w:sz w:val="18"/>
              </w:rPr>
              <w:t xml:space="preserve">  本工程为陕西省荣誉军人康复医院医疗大楼维修改造项目。主要包括医疗楼范围内拆除工程、装饰装修工程、强电工程、弱电工程、玻璃改造工程等内容。具体要求详见工程量清单。</w:t>
            </w:r>
          </w:p>
          <w:p>
            <w:pPr>
              <w:pStyle w:val="null3"/>
            </w:pPr>
            <w:r>
              <w:rPr>
                <w:rFonts w:ascii="仿宋_GB2312" w:hAnsi="仿宋_GB2312" w:cs="仿宋_GB2312" w:eastAsia="仿宋_GB2312"/>
                <w:sz w:val="18"/>
              </w:rPr>
              <w:t>二、工程地点</w:t>
            </w:r>
          </w:p>
          <w:p>
            <w:pPr>
              <w:pStyle w:val="null3"/>
            </w:pPr>
            <w:r>
              <w:rPr>
                <w:rFonts w:ascii="仿宋_GB2312" w:hAnsi="仿宋_GB2312" w:cs="仿宋_GB2312" w:eastAsia="仿宋_GB2312"/>
                <w:sz w:val="18"/>
              </w:rPr>
              <w:t xml:space="preserve">  项目位置：陕西省荣誉军人康复医院内。</w:t>
            </w:r>
          </w:p>
          <w:p>
            <w:pPr>
              <w:pStyle w:val="null3"/>
            </w:pPr>
            <w:r>
              <w:rPr>
                <w:rFonts w:ascii="仿宋_GB2312" w:hAnsi="仿宋_GB2312" w:cs="仿宋_GB2312" w:eastAsia="仿宋_GB2312"/>
                <w:sz w:val="18"/>
                <w:b/>
              </w:rPr>
              <w:t>三</w:t>
            </w:r>
            <w:r>
              <w:rPr>
                <w:rFonts w:ascii="仿宋_GB2312" w:hAnsi="仿宋_GB2312" w:cs="仿宋_GB2312" w:eastAsia="仿宋_GB2312"/>
                <w:sz w:val="18"/>
              </w:rPr>
              <w:t>、工期及质保期</w:t>
            </w:r>
          </w:p>
          <w:p>
            <w:pPr>
              <w:pStyle w:val="null3"/>
            </w:pPr>
            <w:r>
              <w:rPr>
                <w:rFonts w:ascii="仿宋_GB2312" w:hAnsi="仿宋_GB2312" w:cs="仿宋_GB2312" w:eastAsia="仿宋_GB2312"/>
                <w:sz w:val="18"/>
              </w:rPr>
              <w:t xml:space="preserve">  工期：自合同签订之日起90日历天。</w:t>
            </w:r>
          </w:p>
          <w:p>
            <w:pPr>
              <w:pStyle w:val="null3"/>
            </w:pPr>
            <w:r>
              <w:rPr>
                <w:rFonts w:ascii="仿宋_GB2312" w:hAnsi="仿宋_GB2312" w:cs="仿宋_GB2312" w:eastAsia="仿宋_GB2312"/>
                <w:sz w:val="18"/>
              </w:rPr>
              <w:t xml:space="preserve">  质保期：3年。</w:t>
            </w:r>
            <w:r>
              <w:rPr>
                <w:rFonts w:ascii="仿宋_GB2312" w:hAnsi="仿宋_GB2312" w:cs="仿宋_GB2312" w:eastAsia="仿宋_GB2312"/>
                <w:sz w:val="18"/>
                <w:b/>
              </w:rPr>
              <w:t>（五金件质保期5年）</w:t>
            </w:r>
            <w:r>
              <w:rPr>
                <w:rFonts w:ascii="仿宋_GB2312" w:hAnsi="仿宋_GB2312" w:cs="仿宋_GB2312" w:eastAsia="仿宋_GB2312"/>
                <w:sz w:val="18"/>
              </w:rPr>
              <w:t>。</w:t>
            </w:r>
          </w:p>
          <w:p>
            <w:pPr>
              <w:pStyle w:val="null3"/>
            </w:pPr>
            <w:r>
              <w:rPr>
                <w:rFonts w:ascii="仿宋_GB2312" w:hAnsi="仿宋_GB2312" w:cs="仿宋_GB2312" w:eastAsia="仿宋_GB2312"/>
                <w:sz w:val="18"/>
              </w:rPr>
              <w:t>四、付款方式</w:t>
            </w:r>
          </w:p>
          <w:p>
            <w:pPr>
              <w:pStyle w:val="null3"/>
            </w:pPr>
            <w:r>
              <w:rPr>
                <w:rFonts w:ascii="仿宋_GB2312" w:hAnsi="仿宋_GB2312" w:cs="仿宋_GB2312" w:eastAsia="仿宋_GB2312"/>
                <w:sz w:val="18"/>
              </w:rPr>
              <w:t xml:space="preserve">  （1）开工30日后支付工程款暂定总额的30%。</w:t>
            </w:r>
          </w:p>
          <w:p>
            <w:pPr>
              <w:pStyle w:val="null3"/>
            </w:pPr>
            <w:r>
              <w:rPr>
                <w:rFonts w:ascii="仿宋_GB2312" w:hAnsi="仿宋_GB2312" w:cs="仿宋_GB2312" w:eastAsia="仿宋_GB2312"/>
                <w:sz w:val="18"/>
              </w:rPr>
              <w:t xml:space="preserve">  （2）工程完工，经甲方与相关专业部门验收合格、出具竣工验收证书，且完工工程量及竣工结算总价经审核确定后，审核确定的竣工结算总价扣除已支付的金额为剩余待支付金额。本项目最多支付至竣工结算总价的95%，剩余5%为质量保证金，缺陷责任期（24个月）满后，无质量问题后一次性无息支付。</w:t>
            </w:r>
          </w:p>
          <w:p>
            <w:pPr>
              <w:pStyle w:val="null3"/>
            </w:pPr>
            <w:r>
              <w:rPr>
                <w:rFonts w:ascii="仿宋_GB2312" w:hAnsi="仿宋_GB2312" w:cs="仿宋_GB2312" w:eastAsia="仿宋_GB2312"/>
                <w:sz w:val="18"/>
              </w:rPr>
              <w:t xml:space="preserve">  （3）供应商应按照要求办理完所有手续后完成工程款结算并办理支付。每次支付前，供应商应提供符合采购人要求的等额增值税发票，否则采购人有权拒绝付款并不承担任何责任。</w:t>
            </w:r>
          </w:p>
          <w:p>
            <w:pPr>
              <w:pStyle w:val="null3"/>
            </w:pPr>
            <w:r>
              <w:rPr>
                <w:rFonts w:ascii="仿宋_GB2312" w:hAnsi="仿宋_GB2312" w:cs="仿宋_GB2312" w:eastAsia="仿宋_GB2312"/>
                <w:sz w:val="18"/>
              </w:rPr>
              <w:t xml:space="preserve">  （4）付款依据：甲方出具的验收报告、工程量清单、乙方提供的等额发票等。</w:t>
            </w:r>
          </w:p>
          <w:p>
            <w:pPr>
              <w:pStyle w:val="null3"/>
            </w:pPr>
            <w:r>
              <w:rPr>
                <w:rFonts w:ascii="仿宋_GB2312" w:hAnsi="仿宋_GB2312" w:cs="仿宋_GB2312" w:eastAsia="仿宋_GB2312"/>
                <w:sz w:val="18"/>
              </w:rPr>
              <w:t>五、其他说明</w:t>
            </w:r>
          </w:p>
          <w:p>
            <w:pPr>
              <w:pStyle w:val="null3"/>
            </w:pPr>
            <w:r>
              <w:rPr>
                <w:rFonts w:ascii="仿宋_GB2312" w:hAnsi="仿宋_GB2312" w:cs="仿宋_GB2312" w:eastAsia="仿宋_GB2312"/>
                <w:sz w:val="18"/>
              </w:rPr>
              <w:t xml:space="preserve">  1.本工程合同形式为固定综合单价合同；</w:t>
            </w:r>
          </w:p>
          <w:p>
            <w:pPr>
              <w:pStyle w:val="null3"/>
            </w:pPr>
            <w:r>
              <w:rPr>
                <w:rFonts w:ascii="仿宋_GB2312" w:hAnsi="仿宋_GB2312" w:cs="仿宋_GB2312" w:eastAsia="仿宋_GB2312"/>
                <w:sz w:val="18"/>
              </w:rPr>
              <w:t xml:space="preserve">  2.本工程计价采用固定综合单价合同，各供应商依据企业自身情况自主报价、风险自负。所有报价中的单价和合价均以人民币表示。</w:t>
            </w:r>
          </w:p>
          <w:p>
            <w:pPr>
              <w:pStyle w:val="null3"/>
            </w:pPr>
            <w:r>
              <w:rPr>
                <w:rFonts w:ascii="仿宋_GB2312" w:hAnsi="仿宋_GB2312" w:cs="仿宋_GB2312" w:eastAsia="仿宋_GB2312"/>
                <w:sz w:val="18"/>
              </w:rPr>
              <w:t xml:space="preserve">  3.供应商在报价时应仔细对磋商文件进行透彻的分析研究，对图纸进行仔细的阅读和理解。</w:t>
            </w:r>
          </w:p>
          <w:p>
            <w:pPr>
              <w:pStyle w:val="null3"/>
            </w:pPr>
            <w:r>
              <w:rPr>
                <w:rFonts w:ascii="仿宋_GB2312" w:hAnsi="仿宋_GB2312" w:cs="仿宋_GB2312" w:eastAsia="仿宋_GB2312"/>
                <w:sz w:val="18"/>
              </w:rPr>
              <w:t xml:space="preserve">  4.各供应商对分部分项工程费、措施项目费、其他项目费等进行自主报价、风险自负。</w:t>
            </w:r>
          </w:p>
          <w:p>
            <w:pPr>
              <w:pStyle w:val="null3"/>
            </w:pPr>
            <w:r>
              <w:rPr>
                <w:rFonts w:ascii="仿宋_GB2312" w:hAnsi="仿宋_GB2312" w:cs="仿宋_GB2312" w:eastAsia="仿宋_GB2312"/>
                <w:sz w:val="18"/>
              </w:rPr>
              <w:t xml:space="preserve">  5.报价时各供应商应依据图纸用料说明、相关图集，结合图纸、磋商文件、合同条款、技术规范及现场情况进行科学合理组价。报价应包括该工程项目的人工费、材料费、机械费、措施费、管理费、利润、风险费及规费、税金等政策性文件规定的所有费用，所响应的综合单价采购人视为是相应清单项在招标范围内的全部内容价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符合施工质量验收标准以及国家、省、市、行业及地方标准等相关规范要求。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技术方案.docx 已标价工程量清单 人员配备.docx 中小企业声明函 （合同）商务主要条款响应偏差表.docx 供应商承诺书.docx 强制优先采购产品承诺函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法定代表人参加磋商的，须出具法定代表人身份证明书及身份证。法定代表人授权委托人参加磋商的，须出具法定代表人授权委托书及授权委托人身份证；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供应商须具备相关行政主管部门颁发的建筑工程施工总承包三级以上(含三级)资质或建筑装修装饰工程专业承包二级以上（含二级）资质，并具备有效的安全生产许可证；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拟派项目经理须具备建筑工程专业二级以上（含二级）注册建造师资格，在本单位注册，同时具备有效的安全生产考核合格证书，且未担任其他在施建设工程项目的项目经理；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技术方案.docx 已标价工程量清单 人员配备.docx 中小企业声明函 （合同）商务主要条款响应偏差表.docx 供应商承诺书.docx 强制优先采购产品承诺函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同时满足以下条款：（1）货币单位符合采购文件要求（2）报价符合唯一性要求（3）报价未超出最高限价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实质性条款、商务要求、合同条款响应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供应商应提交的相关资格证明材料.docx （合同）商务主要条款响应偏差表.docx 响应函 供应商承诺书.docx 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技术方案.docx 已标价工程量清单 人员配备.docx 中小企业声明函 （合同）商务主要条款响应偏差表.docx 供应商承诺书.docx 强制优先采购产品承诺函 响应文件封面 供应商应提交的相关资格证明材料.docx 项目管理机构组成表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提供具体可行的施工方案，包括但不限于：①提供详细的施工方案；②拟投入的施工设备设施及材料情况（详见附件格式）；③施工进度计划安排：④施工工作质量、安全、进度控制保障措施：⑤工程资料管理方案；⑥组织协调内容及措施；⑦工作重点与难点分析及对应措施；⑧安全、文明施工方案及措施。 二、评审标准 1、完善性：方案必须全面，对评审内容中的各项要求有详细阐述； 2、可实施性：切合本项目实际情况，提出步骤清晰、合理的方案； 3、针对性：方案能够紧扣项目实际情况，内容科学合理。 上述8项评审内容全部满足评审标准得32分，每有一个评审内容缺项扣4分，每有一项评审内容存在缺陷，扣0.5分。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具体可行的人员配置方案，包括但不限于团队机构设置、组成人员名单（至少包含项目经理、技术负责人、施工员、材料员、安全员、质量员、资料员），人员岗位职责明确；项目团队其他人员中具有与本项目相关的专业证书（学历证、职称证、岗位证书等），提供复印件；机构设置合理，人员配备齐全，技术经验丰富，得8分，每有一项评审内容存在缺陷，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针对本项目提供具体可行的应急预案，包括但不限于： ①详细应急保障及应急处理团队及设备设施； ②针对突发事件及紧急情况（包括防火、防盗、防骗、防事故，发生冰雹、暴雪、暴雨等灾害性天气，地震、火灾及停水、停电等其他突发事件）的应急预案；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上述2项评审内容全部满足评审标准得10分，每有一个评审内容缺项扣5分，每有一项评审内容存在缺陷，扣0.5分。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针对本项目提供具体可行的服务承诺及合理化建议，包括但不限于①服务质量承诺；②服务响应时限、人员到位、安全保障、不能完全履行承诺时愿意接受相关处罚等以及其他服务的承诺。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上述2项评审内容全部满足评审标准得5分，每有一个评审内容缺项扣2.5分，每有一项评审内容存在缺陷，扣0.5分。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供应商应提供2023年07月起至今承接过类似项目的业绩合同证明材料（以合同的签订日期为准，须提供合同复印件加盖公章）（每提供一个得2分，满分10分）。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根据供应商提供的保修服务承诺及优化建议等方面的承诺措施，包括但不限于①工程保修期内的定期回访方案及维修方案；②保修服务承诺。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上述2项评审内容全部满足评审标准得5分，每有一个评审内容缺项扣2.5分，每有一项评审内容存在缺陷，扣0.5分。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详见附件：（合同）商务主要条款响应偏差表.docx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