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D58B7">
      <w:pPr>
        <w:spacing w:line="588" w:lineRule="exact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zh-CN" w:eastAsia="zh-CN"/>
        </w:rPr>
        <w:t>人员配备</w:t>
      </w:r>
    </w:p>
    <w:p w14:paraId="0D01F9D2">
      <w:pPr>
        <w:bidi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仿宋" w:hAnsi="仿宋" w:eastAsia="仿宋" w:cs="仿宋"/>
          <w:highlight w:val="none"/>
        </w:rPr>
        <w:t>供应商根据打分项自行编制</w:t>
      </w:r>
    </w:p>
    <w:p w14:paraId="0FA27C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85ED4"/>
    <w:rsid w:val="13A6511A"/>
    <w:rsid w:val="7B98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309</Characters>
  <Lines>0</Lines>
  <Paragraphs>0</Paragraphs>
  <TotalTime>1</TotalTime>
  <ScaleCrop>false</ScaleCrop>
  <LinksUpToDate>false</LinksUpToDate>
  <CharactersWithSpaces>489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2025-10-20T08:07:00Z</dcterms:created>
  <dc:creator>Baymax</dc:creator>
  <cp:lastModifiedBy>Baymax</cp:lastModifiedBy>
  <dcterms:modified xsi:type="dcterms:W3CDTF">2026-06-24T08:53:09Z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32786FE933B949729BE63A5FF144343F_11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