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版本号：ZCSP-渭南市-2026-00134、XHLJZC-WN2026-05020260522001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疫苗电子追溯设备采购项目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ZCSP-渭南市-2026-00134、XHLJZC-WN2026-050</w:t>
      </w:r>
      <w:r>
        <w:br/>
      </w:r>
      <w:r>
        <w:br/>
      </w:r>
      <w:r>
        <w:br/>
      </w:r>
    </w:p>
    <w:p>
      <w:pPr>
        <w:pStyle w:val="null3"/>
        <w:jc w:val="center"/>
        <w:outlineLvl w:val="2"/>
      </w:pPr>
      <w:r>
        <w:rPr>
          <w:rFonts w:ascii="仿宋_GB2312" w:hAnsi="仿宋_GB2312" w:cs="仿宋_GB2312" w:eastAsia="仿宋_GB2312"/>
          <w:sz w:val="28"/>
          <w:b/>
        </w:rPr>
        <w:t>渭南市疾病预防控制中心</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渭南市疾病预防控制中心</w:t>
      </w:r>
      <w:r>
        <w:rPr>
          <w:rFonts w:ascii="仿宋_GB2312" w:hAnsi="仿宋_GB2312" w:cs="仿宋_GB2312" w:eastAsia="仿宋_GB2312"/>
        </w:rPr>
        <w:t>委托，拟对</w:t>
      </w:r>
      <w:r>
        <w:rPr>
          <w:rFonts w:ascii="仿宋_GB2312" w:hAnsi="仿宋_GB2312" w:cs="仿宋_GB2312" w:eastAsia="仿宋_GB2312"/>
        </w:rPr>
        <w:t>疫苗电子追溯设备采购项目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ZCSP-渭南市-2026-00134、XHLJZC-WN2026-050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疫苗电子追溯设备采购项目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身份证读卡器481部；具体详见招标文件。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渭南市站北路5号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0913-2182132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孙梦妮、毛嘉伟、樊锐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029-82519383、029-89183511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采购包1：481,000.00元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开户名称：西安欣华联建工程咨询有限公司</w:t>
            </w:r>
          </w:p>
          <w:p>
            <w:pPr>
              <w:pStyle w:val="null3"/>
            </w:pPr>
            <w:r>
              <w:rPr>
                <w:rFonts w:ascii="仿宋_GB2312" w:hAnsi="仿宋_GB2312" w:cs="仿宋_GB2312" w:eastAsia="仿宋_GB2312"/>
              </w:rPr>
              <w:t>开户银行：西安银行软件园支行</w:t>
            </w:r>
          </w:p>
          <w:p>
            <w:pPr>
              <w:pStyle w:val="null3"/>
            </w:pPr>
            <w:r>
              <w:rPr>
                <w:rFonts w:ascii="仿宋_GB2312" w:hAnsi="仿宋_GB2312" w:cs="仿宋_GB2312" w:eastAsia="仿宋_GB2312"/>
              </w:rPr>
              <w:t>银行账号：912011580000191348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供应商支付代理服务费，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渭南市疾病预防控制中心</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联系人：孙梦妮、毛嘉伟、樊锐</w:t>
      </w:r>
    </w:p>
    <w:p>
      <w:pPr>
        <w:pStyle w:val="null3"/>
      </w:pPr>
      <w:r>
        <w:rPr>
          <w:rFonts w:ascii="仿宋_GB2312" w:hAnsi="仿宋_GB2312" w:cs="仿宋_GB2312" w:eastAsia="仿宋_GB2312"/>
        </w:rPr>
        <w:t>联系电话：029-82513983</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身份证读卡器481部。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481,000.00</w:t>
      </w:r>
    </w:p>
    <w:p>
      <w:pPr>
        <w:pStyle w:val="null3"/>
      </w:pPr>
      <w:r>
        <w:rPr>
          <w:rFonts w:ascii="仿宋_GB2312" w:hAnsi="仿宋_GB2312" w:cs="仿宋_GB2312" w:eastAsia="仿宋_GB2312"/>
        </w:rPr>
        <w:t>采购包最高限价（元）: 481,000.00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身份证读卡器</w:t>
            </w:r>
          </w:p>
        </w:tc>
        <w:tc>
          <w:tcPr>
            <w:tcW w:type="dxa" w:w="755"/>
          </w:tcPr>
          <w:p>
            <w:pPr>
              <w:pStyle w:val="null3"/>
              <w:jc w:val="right"/>
            </w:pPr>
            <w:r>
              <w:rPr>
                <w:rFonts w:ascii="仿宋_GB2312" w:hAnsi="仿宋_GB2312" w:cs="仿宋_GB2312" w:eastAsia="仿宋_GB2312"/>
              </w:rPr>
              <w:t>481.00</w:t>
            </w:r>
          </w:p>
        </w:tc>
        <w:tc>
          <w:tcPr>
            <w:tcW w:type="dxa" w:w="755"/>
          </w:tcPr>
          <w:p>
            <w:pPr>
              <w:pStyle w:val="null3"/>
              <w:jc w:val="right"/>
            </w:pPr>
            <w:r>
              <w:rPr>
                <w:rFonts w:ascii="仿宋_GB2312" w:hAnsi="仿宋_GB2312" w:cs="仿宋_GB2312" w:eastAsia="仿宋_GB2312"/>
              </w:rPr>
              <w:t>481,000.00</w:t>
            </w:r>
          </w:p>
        </w:tc>
        <w:tc>
          <w:tcPr>
            <w:tcW w:type="dxa" w:w="755"/>
          </w:tcPr>
          <w:p>
            <w:pPr>
              <w:pStyle w:val="null3"/>
            </w:pPr>
            <w:r>
              <w:rPr>
                <w:rFonts w:ascii="仿宋_GB2312" w:hAnsi="仿宋_GB2312" w:cs="仿宋_GB2312" w:eastAsia="仿宋_GB2312"/>
              </w:rPr>
              <w:t>部</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标的名称：身份证读卡器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3"/>
              <w:gridCol w:w="2068"/>
              <w:gridCol w:w="222"/>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产品名称</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参数</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数量</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身份证读卡器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1.供电方式：支持电脑USB供电</w:t>
                  </w:r>
                </w:p>
                <w:p>
                  <w:pPr>
                    <w:pStyle w:val="null3"/>
                    <w:jc w:val="left"/>
                  </w:pPr>
                  <w:r>
                    <w:rPr>
                      <w:rFonts w:ascii="仿宋_GB2312" w:hAnsi="仿宋_GB2312" w:cs="仿宋_GB2312" w:eastAsia="仿宋_GB2312"/>
                      <w:sz w:val="24"/>
                      <w:color w:val="000000"/>
                    </w:rPr>
                    <w:t>2.接口方式：USB-SDT</w:t>
                  </w:r>
                </w:p>
                <w:p>
                  <w:pPr>
                    <w:pStyle w:val="null3"/>
                    <w:jc w:val="left"/>
                  </w:pPr>
                  <w:r>
                    <w:rPr>
                      <w:rFonts w:ascii="仿宋_GB2312" w:hAnsi="仿宋_GB2312" w:cs="仿宋_GB2312" w:eastAsia="仿宋_GB2312"/>
                      <w:sz w:val="24"/>
                      <w:color w:val="000000"/>
                    </w:rPr>
                    <w:t>3.内置通信接口接线端子：6P2.0</w:t>
                  </w:r>
                </w:p>
                <w:p>
                  <w:pPr>
                    <w:pStyle w:val="null3"/>
                    <w:jc w:val="left"/>
                  </w:pPr>
                  <w:r>
                    <w:rPr>
                      <w:rFonts w:ascii="仿宋_GB2312" w:hAnsi="仿宋_GB2312" w:cs="仿宋_GB2312" w:eastAsia="仿宋_GB2312"/>
                      <w:sz w:val="24"/>
                      <w:color w:val="000000"/>
                    </w:rPr>
                    <w:t>4.射频技术：符合ISO14443TypeB标准</w:t>
                  </w:r>
                </w:p>
                <w:p>
                  <w:pPr>
                    <w:pStyle w:val="null3"/>
                    <w:jc w:val="left"/>
                  </w:pPr>
                  <w:r>
                    <w:rPr>
                      <w:rFonts w:ascii="仿宋_GB2312" w:hAnsi="仿宋_GB2312" w:cs="仿宋_GB2312" w:eastAsia="仿宋_GB2312"/>
                      <w:sz w:val="24"/>
                      <w:color w:val="000000"/>
                    </w:rPr>
                    <w:t>5.读卡距离：0-40mm</w:t>
                  </w:r>
                </w:p>
                <w:p>
                  <w:pPr>
                    <w:pStyle w:val="null3"/>
                    <w:jc w:val="left"/>
                  </w:pPr>
                  <w:r>
                    <w:rPr>
                      <w:rFonts w:ascii="仿宋_GB2312" w:hAnsi="仿宋_GB2312" w:cs="仿宋_GB2312" w:eastAsia="仿宋_GB2312"/>
                      <w:sz w:val="24"/>
                      <w:color w:val="000000"/>
                    </w:rPr>
                    <w:t>6.感应区面积：60*60mm</w:t>
                  </w:r>
                </w:p>
                <w:p>
                  <w:pPr>
                    <w:pStyle w:val="null3"/>
                    <w:jc w:val="left"/>
                  </w:pPr>
                  <w:r>
                    <w:rPr>
                      <w:rFonts w:ascii="仿宋_GB2312" w:hAnsi="仿宋_GB2312" w:cs="仿宋_GB2312" w:eastAsia="仿宋_GB2312"/>
                      <w:sz w:val="24"/>
                      <w:color w:val="000000"/>
                    </w:rPr>
                    <w:t>7.读卡时间：&lt;1.0S</w:t>
                  </w:r>
                </w:p>
                <w:p>
                  <w:pPr>
                    <w:pStyle w:val="null3"/>
                    <w:jc w:val="left"/>
                  </w:pPr>
                  <w:r>
                    <w:rPr>
                      <w:rFonts w:ascii="仿宋_GB2312" w:hAnsi="仿宋_GB2312" w:cs="仿宋_GB2312" w:eastAsia="仿宋_GB2312"/>
                      <w:sz w:val="24"/>
                      <w:color w:val="000000"/>
                    </w:rPr>
                    <w:t>8.支持二代身份证读取、港澳台居民居住证、外国人永久居留证。</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内置最新居民身份证验证安全控制模块接口技术规范且具备公安部授权全新加解密模块，有公安部认定的安全报告。</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提供软件、硬件的技术对接参数，能够完成与陕西省免疫规划信息系统的适配，可通过省免疫规划信息系统调用设备完成身份信息读取，需提供承诺函</w:t>
                  </w:r>
                  <w:r>
                    <w:rPr>
                      <w:rFonts w:ascii="仿宋_GB2312" w:hAnsi="仿宋_GB2312" w:cs="仿宋_GB2312" w:eastAsia="仿宋_GB2312"/>
                      <w:sz w:val="24"/>
                      <w:color w:val="000000"/>
                    </w:rPr>
                    <w:t>。</w:t>
                  </w:r>
                </w:p>
                <w:p>
                  <w:pPr>
                    <w:pStyle w:val="null3"/>
                    <w:jc w:val="left"/>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481部</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渭南市疾病预防控制中心指定地点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其他，供货完成并经验收合格后，达到付款条件起30个工作日内，支付合同总金额的100.0%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（1）应有产品合格证、检测报告、产品说明书、质保证明材料以及相应产品的检定证书和其他应具有的单证； （2）质量符合国家法律法规规定的合格标准、招标文件、投标文件的要求。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验收合格后提供三年质保。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采购人逾期付款，应就逾期部分向供应商支付按照中国人民银行规定的同期贷款基准利率计算的逾期付款违约金。2、采购人违反合同规定拒绝接收货物的，应当承担由此对供应商造成的损失。3、供应商不能按期完成交货的，每逾期1日，应向采购人赔付合同总价的0.1%作为违约金。4、供应商所交货物不符合国家法律法规和合同规定的，采购人有权拒收，并由供应商承担一切费用。 争议解决：双方本着友好合作的态度,对合同履行过程中发生的违约行为进行及时的协商解决,如不能协商解决可向采购人住所地法院起诉。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 （实质性要求）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分项报价表 本国产品说明 中小企业声明函 技术要求响应表 中国境内生产的组件成本核算基本规则 商务要求响应表 投标方案说明 政府采购供应商拒绝政府采购领域商业贿赂承诺书 投标函 残疾人福利性单位声明函 投标保证金缴纳凭证及退还申请表 标的清单 关于符合本国产品标准的声明函 投标文件封面 供应商承诺书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 （实质性要求）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对商务要求完全响应招标文件要求的得1分。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所投产品技术参数指标</w:t>
            </w:r>
          </w:p>
        </w:tc>
        <w:tc>
          <w:tcPr>
            <w:tcW w:type="dxa" w:w="2492"/>
          </w:tcPr>
          <w:p>
            <w:pPr>
              <w:pStyle w:val="null3"/>
            </w:pPr>
            <w:r>
              <w:rPr>
                <w:rFonts w:ascii="仿宋_GB2312" w:hAnsi="仿宋_GB2312" w:cs="仿宋_GB2312" w:eastAsia="仿宋_GB2312"/>
              </w:rPr>
              <w:t>所投产品技术参数指标，本项满分18分。 标▲参数有一项不满足扣3分，非▲参数有一项不满足扣1.5分，扣完为止。 注：投标文件中需提供的作为评审依据的证明文件（包括但不限于第三方检测报告、加盖公章的产品彩页、加盖公章的官网截图等）。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所投产品来源渠道</w:t>
            </w:r>
          </w:p>
        </w:tc>
        <w:tc>
          <w:tcPr>
            <w:tcW w:type="dxa" w:w="2492"/>
          </w:tcPr>
          <w:p>
            <w:pPr>
              <w:pStyle w:val="null3"/>
            </w:pPr>
            <w:r>
              <w:rPr>
                <w:rFonts w:ascii="仿宋_GB2312" w:hAnsi="仿宋_GB2312" w:cs="仿宋_GB2312" w:eastAsia="仿宋_GB2312"/>
              </w:rPr>
              <w:t>提供本项目所投产品来源渠道（包括但不限于产品制造商授权书或销售协议或代理协议等），满分3分；未提供不得分。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拟派本项目工作人员组成情况</w:t>
            </w:r>
          </w:p>
        </w:tc>
        <w:tc>
          <w:tcPr>
            <w:tcW w:type="dxa" w:w="2492"/>
          </w:tcPr>
          <w:p>
            <w:pPr>
              <w:pStyle w:val="null3"/>
            </w:pPr>
            <w:r>
              <w:rPr>
                <w:rFonts w:ascii="仿宋_GB2312" w:hAnsi="仿宋_GB2312" w:cs="仿宋_GB2312" w:eastAsia="仿宋_GB2312"/>
              </w:rPr>
              <w:t>1、评审内容 提供拟派本项目工作人员组成情况（有具体成员名单，包括姓名、工作经验、工作职责、联系方式等） 2、评审标准 ①完整性：组织机构的运行配备完善、各岗位人员分工明确合理。 ②针对性：人员数量充足，人员资格/年龄等符合采购需求； ③专业性：人员相关岗位经验丰富，切合本项目实际情况。 3、赋分标准 每完全满足一项评审标准得1分，满分3分。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提供针对本项目的总体实施方案，内容包括： ①产品运输送货方案； ②产品验收实施方案； ③产品出现质量问题时的处理方案。 2、评审标准 ①完整性：方案须全面，对评审内容中的各项要求有详细描述及说明； ②可实施性：切合本项目实际情况，实施步骤清晰、合理； ③针对性：方案能够紧扣项目实际情况，内容科学合理。 3、赋分标准 ①产品运输送货方案：每完全满足一项评审标准得1分，满分3分； ②产品验收实施方案：每完全满足一项评审标准得1分，满分3分； ③产品出现质量问题时的处理方案：每完全满足一项评审标准得1分，满分3分。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供应商根据本项目涉及操作的实际需求提供培训方案，内容包括： ①日常使用操作； ②常见故障的排除。 2、评审标准 ①完整性：方案须全面，对评审内容中的各项要求有详细描述及说明； ②可实施性：切合本项目实际情况，步骤清晰、合理，操作性强； ③针对性：方案能够紧扣项目实际情况，内容科学合理。 3、赋分标准 ①日常使用操作：每完全满足一项评审标准得1分，满分3分； ②常见故障的排除：每完全满足一项评审标准得1分，满分3分。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提供针对本项目的增值服务（包括但不限于质保期延长、定期为用户免费维护、 以及维护费用的收取标准等），满分3分；未提供不得分。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1、评审内容 供应商提供针对本项目具体的服务承诺，内容包括： ①质保期内的售后服务保障； ②售后服务人员安排及响应处理时间； ③质保期外的售后服务保障。 2、评审标准 ①完整性：承诺须全面，对评审内容中的各项要求有详细描述及说明； ②可实施性：切合本项目实际情况，步骤清晰、合理，操作性强； ③针对性：承诺能够紧扣项目实际情况，内容科学合理。 3、赋分标准 ①质保期内的售后服务保障：每完全满足一项评审标准得1分，满分3分； ②售后服务人员安排及响应处理时间：每满足一项评审标准得1分，满分3分； ③质保期外的售后服务保障：每完全满足一项评审标准得1分，满分3分。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提供2023年1月1日以来供应商类似项目的业绩合同（以合同签订日期为准）,附业绩合同复印件，每份2分，满分8分，未提供的不得分。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价格分采用低价优先法计算，即满足招标文件要求且投标报价最低的投标报价为评标基准价，其价格分为满分。其他供应商的价格分统一按照下列公式计算：报价得分=（评标基准价/有效报价）×权重（40%）×100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详见附件：投标保证金缴纳凭证及退还申请表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