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版本号：RTZB-2026-2020.1B220260713001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用于铁电压电晶体材料电极的金靶材采购项目(三次)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RTZB-2026-2020.1B2</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用于铁电压电晶体材料电极的金靶材采购项目(三次)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RTZB-2026-2020.1B2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用于铁电压电晶体材料电极的金靶材采购项目(三次)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西北大学拟采购用于铁电压电晶体材料电极的金靶材1块，采购预算300000元。详见第三章采购需求。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采购包1（用于铁电压电晶体材料电极的金靶材采购）：属于专门面向中小企业采购。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注册证照：提供营业执照/事业单位法人登记证/非企业单位登记证/执业许可证，未提供的接受采购人通过国家企业信用信息公示系统（http://www.gsxt.gov.cn/index.html）进行相关信息的核实，并承担核实不到的后果；自然人提供身份证。</w:t>
      </w:r>
    </w:p>
    <w:p>
      <w:pPr>
        <w:pStyle w:val="null3"/>
      </w:pPr>
      <w:r>
        <w:rPr>
          <w:rFonts w:ascii="仿宋_GB2312" w:hAnsi="仿宋_GB2312" w:cs="仿宋_GB2312" w:eastAsia="仿宋_GB2312"/>
        </w:rPr>
        <w:t>2、信用证明：未被信用中国网站列入失信被执行人和重大税收违法案件当事人名单、未被中国政府采购网列入政府采购严重违法失信行为记录名单（开标时系统查询），参加本次政府采购活动前3年内在经营活动中没有重大违纪，提供书面声明。</w:t>
      </w:r>
    </w:p>
    <w:p>
      <w:pPr>
        <w:pStyle w:val="null3"/>
      </w:pPr>
      <w:r>
        <w:rPr>
          <w:rFonts w:ascii="仿宋_GB2312" w:hAnsi="仿宋_GB2312" w:cs="仿宋_GB2312" w:eastAsia="仿宋_GB2312"/>
        </w:rPr>
        <w:t>3、财务状况：提供2025年度经第三方会计事务所审计过的财务报告，或谈判截止时间前90天内基本账户银行出具的资信证明。注：①提供财务报告的，内容至少包括审计报告、附注。审计报告需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凭证：提供2025年6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保缴纳凭证：提供2025年6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6、履约能力：提供具有履行本合同所必需的专业技术能力的书面声明。</w:t>
      </w:r>
    </w:p>
    <w:p>
      <w:pPr>
        <w:pStyle w:val="null3"/>
      </w:pPr>
      <w:r>
        <w:rPr>
          <w:rFonts w:ascii="仿宋_GB2312" w:hAnsi="仿宋_GB2312" w:cs="仿宋_GB2312" w:eastAsia="仿宋_GB2312"/>
        </w:rPr>
        <w:t>7、代表人授权：参加磋商的供应商代表需提供提法定代表人证明书和法定代表人授权书。</w:t>
      </w:r>
    </w:p>
    <w:p>
      <w:pPr>
        <w:pStyle w:val="null3"/>
      </w:pPr>
      <w:r>
        <w:rPr>
          <w:rFonts w:ascii="仿宋_GB2312" w:hAnsi="仿宋_GB2312" w:cs="仿宋_GB2312" w:eastAsia="仿宋_GB2312"/>
        </w:rPr>
        <w:t>8、联合体形式：本项目不接受联合体，提供非联合体声明。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说明：供应商凭成交通知书向采购人缴纳成交金额的5%作为履约保证金。 2.缴纳信息： 户名：西北大学 开户银行：交通银行西安学府大街支行 账号： 611301015018001145006 3.履约保证金汇款后，可持银行回执到西北大学采购与招标办公室换取收据。待合同执行完毕、项目验收合格后凭验收单和缴款收据，履约保证金予以无息退还。如遇下列情况之一者，履约保证金不予退还，作为对采购人的赔偿： （1）合同签订后不能按合同时限要求供货或安装调试；（2）所供货物不合格、与合同不符；（3）不能按合同履约；（4）货物验收不合格。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参照国家计委颁布的《招标代理服务收费管理暂行办法》（计价格[2002]1980号）及发改办价格[2003]857号文件的规定各包以中标价为基础按货物类标准下浮20%收取，投标人在下载中标通知书时一次性缴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西北大学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陕西瑞通工程造价咨询有限公司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联系人：贾堃 水思楠</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地址：西安市高新区科技路30号合力紫郡A座2204室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西北大学拟采购用于铁电压电晶体材料电极的金靶材1块，采购预算300000元。详见第三章采购需求。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金靶材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标的名称：金靶材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12"/>
              <w:gridCol w:w="513"/>
              <w:gridCol w:w="1129"/>
              <w:gridCol w:w="335"/>
              <w:gridCol w:w="263"/>
            </w:tblGrid>
            <w:tr>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序号</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货物名称</w:t>
                  </w:r>
                </w:p>
              </w:tc>
              <w:tc>
                <w:tcPr>
                  <w:tcW w:type="dxa" w:w="1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技术参数</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数量</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单位</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金靶材</w:t>
                  </w:r>
                </w:p>
              </w:tc>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1.形状：长方形板式形状；</w:t>
                  </w:r>
                  <w:r>
                    <w:br/>
                  </w:r>
                  <w:r>
                    <w:rPr>
                      <w:rFonts w:ascii="仿宋_GB2312" w:hAnsi="仿宋_GB2312" w:cs="仿宋_GB2312" w:eastAsia="仿宋_GB2312"/>
                      <w:sz w:val="21"/>
                      <w:color w:val="0000FF"/>
                    </w:rPr>
                    <w:t xml:space="preserve"> 2.尺寸：254mm×54mm×1mm，误差≤30μm；</w:t>
                  </w:r>
                  <w:r>
                    <w:br/>
                  </w:r>
                  <w:r>
                    <w:rPr>
                      <w:rFonts w:ascii="仿宋_GB2312" w:hAnsi="仿宋_GB2312" w:cs="仿宋_GB2312" w:eastAsia="仿宋_GB2312"/>
                      <w:sz w:val="21"/>
                      <w:color w:val="0000FF"/>
                    </w:rPr>
                    <w:t xml:space="preserve"> 3.纯度：达到99.99%及以上，且满足以下杂质质量百分比上限要求：银（Ag） ≤0.0025% ，铁（Fe）≤0.0025% ，铜 (Cu)≤0.0008%，镁 (Mg)≤0.0008%，铬 (Cr)≤0.0002%</w:t>
                  </w:r>
                  <w:r>
                    <w:br/>
                  </w:r>
                  <w:r>
                    <w:rPr>
                      <w:rFonts w:ascii="仿宋_GB2312" w:hAnsi="仿宋_GB2312" w:cs="仿宋_GB2312" w:eastAsia="仿宋_GB2312"/>
                      <w:sz w:val="21"/>
                      <w:color w:val="0000FF"/>
                    </w:rPr>
                    <w:t xml:space="preserve"> 4.其他：形状、尺寸、纯度必须同时达标。</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块</w:t>
                  </w:r>
                </w:p>
              </w:tc>
            </w:tr>
          </w:tbl>
          <w:p>
            <w:pPr>
              <w:pStyle w:val="null3"/>
            </w:pPr>
            <w:r>
              <w:rPr>
                <w:rFonts w:ascii="仿宋_GB2312" w:hAnsi="仿宋_GB2312" w:cs="仿宋_GB2312" w:eastAsia="仿宋_GB2312"/>
                <w:sz w:val="24"/>
                <w:b/>
                <w:color w:val="0000FF"/>
              </w:rPr>
              <w:t>以上所有要求不允许负偏离，有一项负偏离为无效响应。以《投标产品技术指标偏离表》响应为准。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自合同签订之日起14天内到货，15天内安装调试并交付使用。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西北大学电子信息学院（人工智能学院）指定地点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进度款，合同生效后，待货物到达指定地点、安装调试验收合格后，一次性付清合同货款，达到付款条件起30个工作日内，支付合同总金额的100.0%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1.质保期：验收合格之日起1年。 2.售后服务标准要求：供应商需随货提供内部质检部门出具的《产品质量分析检测报告单》，报告单需包含本技术规格中列明的检测项目（主含量及杂质）的实测数据，并明确给出“合格”结论。质保期1年，若出现金靶溅射质量问题，供方需按照售后服务效率的要求，提供咨询与分析，并协助处理溅射质量问题。 3.售后服务效率要求：即时响应（包括电话响应）；电话响应无法解决时， 48 小时内到达现场。修复时间 48小时内；如 48 小时内无法修复，应提供相应解决方案。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线提交所有通过电子化交易平台实施的政府采购项目的响应文件，另外，在谈判截止时间前向代理机构递交密封、系统生成的纸质版响应文件壹份（胶装，封袋标注供应商名称、项目名称）。代理机构对递交的文件签收，由监标人查验密封情况并记录，开标后交谈判小组，作为评审的辅助资料。递交方式：现场递交，或顺丰邮寄。 2.本项目谈判及二次报价在采购系统线上进行，供应商需自行了解系统谈判和报价的要求和操作流程。未按流程操作或无法联系以及供应商自身原因错过谈判或报价的的视为自动放弃谈判，其响应无效。 3.本项目采用两次报价，响应文件中的报价为首次报价，评审以第二次（最终报价）为准。 4.中小企业： ①是否属于中小企业，供应商按《政府采购促进中小企业发展管理办法》（财库〔2020〕46号）、《统计上大中小微型企业划分办法（2017）》（国统字﹝2017﹞213号）工业划型标准判定，并承担责任。如判定原则与第四章及附件格式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 5. 采用线下纸质保函形式交纳谈判保证金的，供应商需在谈判截止时间前将保函递交代理机构并换取收据，并将收据作为保证金的交纳凭证上传至交易系统，在开标时查验。 6.本次招标为三次招标，需要重新缴纳保证金，二次招标保证金将原路退回。</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注册证照</w:t>
            </w:r>
          </w:p>
        </w:tc>
        <w:tc>
          <w:tcPr>
            <w:tcW w:type="dxa" w:w="3322"/>
          </w:tcPr>
          <w:p>
            <w:pPr>
              <w:pStyle w:val="null3"/>
            </w:pPr>
            <w:r>
              <w:rPr>
                <w:rFonts w:ascii="仿宋_GB2312" w:hAnsi="仿宋_GB2312" w:cs="仿宋_GB2312" w:eastAsia="仿宋_GB2312"/>
              </w:rPr>
              <w:t>提供营业执照/事业单位法人登记证/非企业单位登记证/执业许可证，未提供的接受采购人通过国家企业信用信息公示系统（http://www.gsxt.gov.cn/index.html）进行相关信息的核实，并承担核实不到的后果；自然人提供身份证。</w:t>
            </w:r>
          </w:p>
        </w:tc>
        <w:tc>
          <w:tcPr>
            <w:tcW w:type="dxa" w:w="1661"/>
          </w:tcPr>
          <w:p>
            <w:pPr>
              <w:pStyle w:val="null3"/>
            </w:pPr>
            <w:r>
              <w:rPr>
                <w:rFonts w:ascii="仿宋_GB2312" w:hAnsi="仿宋_GB2312" w:cs="仿宋_GB2312" w:eastAsia="仿宋_GB2312"/>
              </w:rPr>
              <w:t>注册证照.docx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参加本次政府采购活动前3年内在经营活动中没有重大违纪，提供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第三方会计事务所审计过的财务报告，或谈判截止时间前90天内基本账户银行出具的资信证明。注：①提供财务报告的，内容至少包括审计报告、附注。审计报告需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纳税凭证</w:t>
            </w:r>
          </w:p>
        </w:tc>
        <w:tc>
          <w:tcPr>
            <w:tcW w:type="dxa" w:w="3322"/>
          </w:tcPr>
          <w:p>
            <w:pPr>
              <w:pStyle w:val="null3"/>
            </w:pPr>
            <w:r>
              <w:rPr>
                <w:rFonts w:ascii="仿宋_GB2312" w:hAnsi="仿宋_GB2312" w:cs="仿宋_GB2312" w:eastAsia="仿宋_GB2312"/>
              </w:rPr>
              <w:t>提供2025年6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纳税证明.docx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2025年6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履约能力声明.docx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代表人授权</w:t>
            </w:r>
          </w:p>
        </w:tc>
        <w:tc>
          <w:tcPr>
            <w:tcW w:type="dxa" w:w="3322"/>
          </w:tcPr>
          <w:p>
            <w:pPr>
              <w:pStyle w:val="null3"/>
            </w:pPr>
            <w:r>
              <w:rPr>
                <w:rFonts w:ascii="仿宋_GB2312" w:hAnsi="仿宋_GB2312" w:cs="仿宋_GB2312" w:eastAsia="仿宋_GB2312"/>
              </w:rPr>
              <w:t>参加磋商的供应商代表需提供提法定代表人证明书和法定代表人授权书。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 (1)响应报价低于全部通过符合性审查供应商响应报价平均值50%的，即响应报价〈全部通过符合性审查供应商响应报价平均值X50％； (2)响应报价低于通过符合性审查的次低报价供应商响应报价的50%，即响应报价〈通过符合性审查的次低报价供应商响应报价X50%； (3)响应报价低于采购项目最高限价45%的，即响应报价&lt;采购项目最高限价X45%； (4)磋商小组基于专业判断，认为供应商报价过低，有可能影响产品质量或者不能诚信履约的其他情形。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的，磋商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首次响应报价</w:t>
            </w:r>
          </w:p>
        </w:tc>
        <w:tc>
          <w:tcPr>
            <w:tcW w:type="dxa" w:w="3322"/>
          </w:tcPr>
          <w:p>
            <w:pPr>
              <w:pStyle w:val="null3"/>
            </w:pPr>
            <w:r>
              <w:rPr>
                <w:rFonts w:ascii="仿宋_GB2312" w:hAnsi="仿宋_GB2312" w:cs="仿宋_GB2312" w:eastAsia="仿宋_GB2312"/>
              </w:rPr>
              <w:t>首次报价未超过采购预算。</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自合同签订之日起14天内到货，15天内安装调试并交付使用。</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西北大学电子信息学院（人工智能学院）指定地点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1.质保期：验收合格之日起1年。 2.售后服务标准要求：供应商需随货提供内部质检部门出具的《产品质量分析检测报告单》，报告单需包含本技术规格中列明的检测项目（主含量及杂质）的实测数据，并明确给出“合格”结论。质保期1年，若出现金靶溅射质量问题，供方需按照售后服务效率的要求，提供咨询与分析，并协助处理溅射质量问题。 3.售后服务效率要求：即时响应（包括电话响应）；电话响应无法解决时， 48 小时内到达现场。修复时间 48小时内；如 48 小时内无法修复，应提供相应解决方案。 4.支付方式：合同生效后，待货物到达指定地点、安装调试验收合格后，一次性付清合同货款，达到付款条件起30个工作日内，支付合同总金额的100.0%。 对以上商务条款响应无负偏离。</w:t>
            </w:r>
          </w:p>
        </w:tc>
        <w:tc>
          <w:tcPr>
            <w:tcW w:type="dxa" w:w="1661"/>
          </w:tcPr>
          <w:p>
            <w:pPr>
              <w:pStyle w:val="null3"/>
            </w:pPr>
            <w:r>
              <w:rPr>
                <w:rFonts w:ascii="仿宋_GB2312" w:hAnsi="仿宋_GB2312" w:cs="仿宋_GB2312" w:eastAsia="仿宋_GB2312"/>
              </w:rPr>
              <w:t>主要商务条款响应偏离表.docx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投标产品品目、数量、技术参数符合谈判文件要求。 注：技术参数以《投标产品技术指标偏离表》响应为准。</w:t>
            </w:r>
          </w:p>
        </w:tc>
        <w:tc>
          <w:tcPr>
            <w:tcW w:type="dxa" w:w="1661"/>
          </w:tcPr>
          <w:p>
            <w:pPr>
              <w:pStyle w:val="null3"/>
            </w:pPr>
            <w:r>
              <w:rPr>
                <w:rFonts w:ascii="仿宋_GB2312" w:hAnsi="仿宋_GB2312" w:cs="仿宋_GB2312" w:eastAsia="仿宋_GB2312"/>
              </w:rPr>
              <w:t>投标产品技术指标偏离表.docx 标的清单</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详见附件：注册证照.docx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详见附件：纳税证明.docx</w:t>
      </w:r>
    </w:p>
    <w:p>
      <w:pPr>
        <w:pStyle w:val="null3"/>
        <w:ind w:firstLine="960"/>
      </w:pPr>
      <w:r>
        <w:rPr>
          <w:rFonts w:ascii="仿宋_GB2312" w:hAnsi="仿宋_GB2312" w:cs="仿宋_GB2312" w:eastAsia="仿宋_GB2312"/>
        </w:rPr>
        <w:t>详见附件：履约能力声明.docx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详见附件：投标产品技术指标偏离表.docx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详见附件：西北大学购货合同模板（国产10万元以上）.docx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