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版本号：HCKPZY-ZB-2026029.1B120260604001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陕西省公路养护管理系统运维项目(二次)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HCKPZY-ZB-2026029.1B1</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陕西省公路养护管理系统运维项目(二次)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HCKPZY-ZB-2026029.1B1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陕西省公路养护管理系统运维项目(二次)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陕西省公路养护管理系统提供7*24H运行维护服务，确保系统公路资产管理、路面管理、桥梁管理、隧道管理、日常养护、养护工程、应急保通以及构造物监测等子系统运行正常；对系统数据进行实时汇总分类整理，提供各类统计数据及相关报表，强化系统分析比对功能，满足省部级系统对接及数据传输要求，确保系统数据“一数一源”，维护系统及数据安全；制定省公路养护管理系统与长大桥梁（隧道）结构监测省级平台对接方案，支撑我省养护管理业务的高效运行。具体采购运维服务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附法定代表人、被授权人身份证复印件)及被授权人身份证复印件(法定代表人直接参加投标的，须提供法定代表人身份证明及身份证复印件)；非法人单位参照执行。（牵头单位提供）</w:t>
      </w:r>
    </w:p>
    <w:p>
      <w:pPr>
        <w:pStyle w:val="null3"/>
      </w:pPr>
      <w:r>
        <w:rPr>
          <w:rFonts w:ascii="仿宋_GB2312" w:hAnsi="仿宋_GB2312" w:cs="仿宋_GB2312" w:eastAsia="仿宋_GB2312"/>
        </w:rPr>
        <w:t>2、供应商关联关系声明：单位负责人为同一人或者存在直接控股、管理关系的不同供应商，不得参加同一项目的招标活动。（牵头单位提供书面承诺函，加盖供应商公章）</w:t>
      </w:r>
    </w:p>
    <w:p>
      <w:pPr>
        <w:pStyle w:val="null3"/>
      </w:pPr>
      <w:r>
        <w:rPr>
          <w:rFonts w:ascii="仿宋_GB2312" w:hAnsi="仿宋_GB2312" w:cs="仿宋_GB2312" w:eastAsia="仿宋_GB2312"/>
        </w:rPr>
        <w:t>3、信用查询：供应商提供《供应商信用记录书面声明函》。经查，供应商未被列入“信用中国”网站记录的“失信被执行人”或“重大税收违法失信主体”名单；不处于“中国政府采购网”记录的“政府采购严重违法失信行为记录名单”中的禁止参加政府采购活动期间；联合体投标的，联合体各方均需提供，并加盖联合体成员公章。</w:t>
      </w:r>
    </w:p>
    <w:p>
      <w:pPr>
        <w:pStyle w:val="null3"/>
      </w:pPr>
      <w:r>
        <w:rPr>
          <w:rFonts w:ascii="仿宋_GB2312" w:hAnsi="仿宋_GB2312" w:cs="仿宋_GB2312" w:eastAsia="仿宋_GB2312"/>
        </w:rPr>
        <w:t>4、联合体声明：本项目接受联合体投标。（提供联合体协议书）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029-88408773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陕西省西安市南二环西段58号成长大厦16楼1622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张驰、李帆、郭雄龙、冯建正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029-85205306 /13772400720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w:t>
            </w:r>
          </w:p>
          <w:p>
            <w:pPr>
              <w:pStyle w:val="null3"/>
            </w:pPr>
            <w:r>
              <w:rPr>
                <w:rFonts w:ascii="仿宋_GB2312" w:hAnsi="仿宋_GB2312" w:cs="仿宋_GB2312" w:eastAsia="仿宋_GB2312"/>
              </w:rPr>
              <w:t>银行账号：30208471002852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说明：合同签订前，供应商向采购人缴纳合同总金额5%的履约保证金。经采购人履约验收合格且无任何纠纷后一次性无息退还。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中标（成交）金额，依据《国家发展改革委关于进一步放开建设项目专业服务价格的通知》（发改价格〔2015〕299号），并参考《招标代理服务收费管理暂行办法》（计价格［2002］1980号）规定的标准计算，下浮20%计取，在领取中标通知书时，向代理机构一次性全额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按照《陕西省公路局政府采购项目履约验收办法》及政府采购合同约定的技术、服务、安全标准组织对供应商每一项技术、服务、安全标准的履约情况进行验收，并出具验收书。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联系电话：029-85205306</w:t>
      </w:r>
    </w:p>
    <w:p>
      <w:pPr>
        <w:pStyle w:val="null3"/>
      </w:pPr>
      <w:r>
        <w:rPr>
          <w:rFonts w:ascii="仿宋_GB2312" w:hAnsi="仿宋_GB2312" w:cs="仿宋_GB2312" w:eastAsia="仿宋_GB2312"/>
        </w:rPr>
        <w:t>地址：陕西省西安市南二环西段 58 号成长大厦 16 楼1622</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陕西省公路养护管理系统提供7*24H运行维护服务，确保系统公路资产管理、路面管理、桥梁管理、隧道管理、日常养护、养护工程、应急保通以及构造物监测等子系统运行正常；对系统数据进行实时汇总分类整理，提供各类统计数据及相关报表，满足省部级系统对接及数据传输要求，维护系统及数据安全；制定省公路养护管理系统与长大桥梁（隧道）结构监测省级平台对接方案，支撑我省养护管理业务的高效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368,000.00</w:t>
      </w:r>
    </w:p>
    <w:p>
      <w:pPr>
        <w:pStyle w:val="null3"/>
      </w:pPr>
      <w:r>
        <w:rPr>
          <w:rFonts w:ascii="仿宋_GB2312" w:hAnsi="仿宋_GB2312" w:cs="仿宋_GB2312" w:eastAsia="仿宋_GB2312"/>
        </w:rPr>
        <w:t>采购包最高限价（元）: 368,000.00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陕西省公路养护管理系统运维项目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368,000.00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标的名称：陕西省公路养护管理系统运维项目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一、项目基本概况</w:t>
            </w:r>
          </w:p>
          <w:p>
            <w:pPr>
              <w:pStyle w:val="null3"/>
              <w:jc w:val="both"/>
            </w:pPr>
            <w:r>
              <w:rPr>
                <w:rFonts w:ascii="仿宋_GB2312" w:hAnsi="仿宋_GB2312" w:cs="仿宋_GB2312" w:eastAsia="仿宋_GB2312"/>
                <w:sz w:val="24"/>
                <w:b/>
              </w:rPr>
              <w:t>1.1 项目背景</w:t>
            </w:r>
          </w:p>
          <w:p>
            <w:pPr>
              <w:pStyle w:val="null3"/>
              <w:ind w:firstLine="400"/>
              <w:jc w:val="both"/>
            </w:pPr>
            <w:r>
              <w:rPr>
                <w:rFonts w:ascii="仿宋_GB2312" w:hAnsi="仿宋_GB2312" w:cs="仿宋_GB2312" w:eastAsia="仿宋_GB2312"/>
                <w:sz w:val="20"/>
              </w:rPr>
              <w:t>为提升公路养护管理水平，构建</w:t>
            </w:r>
            <w:r>
              <w:rPr>
                <w:rFonts w:ascii="仿宋_GB2312" w:hAnsi="仿宋_GB2312" w:cs="仿宋_GB2312" w:eastAsia="仿宋_GB2312"/>
                <w:sz w:val="20"/>
              </w:rPr>
              <w:t>“安全畅通的设施体系、专业可靠的养护体系、现代高效的管理体系”，陕西省公路局全面推广应用“陕西省公路养护管理系统”。该系统依托公路基础数据、电子地图、技术状况检测数据、历史养护数据等，建立全省公路养护管理综合平台，实现覆盖全省高速公路、普通干线公路、农村公路县道和主要乡道的全省公路养护综合管理。开展陕西省养护管理系统运维项目，旨在通过专业化的技术支持与服务，确保系统架构的稳定性、数据的安</w:t>
            </w:r>
            <w:r>
              <w:rPr>
                <w:rFonts w:ascii="仿宋_GB2312" w:hAnsi="仿宋_GB2312" w:cs="仿宋_GB2312" w:eastAsia="仿宋_GB2312"/>
                <w:sz w:val="20"/>
              </w:rPr>
              <w:t>全性与功能的持续优化，促进陕西省公路养护管理信息化水平，提高行业监管效能。</w:t>
            </w:r>
          </w:p>
          <w:p>
            <w:pPr>
              <w:pStyle w:val="null3"/>
              <w:jc w:val="both"/>
            </w:pPr>
            <w:r>
              <w:rPr>
                <w:rFonts w:ascii="仿宋_GB2312" w:hAnsi="仿宋_GB2312" w:cs="仿宋_GB2312" w:eastAsia="仿宋_GB2312"/>
                <w:sz w:val="24"/>
                <w:b/>
              </w:rPr>
              <w:t>1.2 服务范围</w:t>
            </w:r>
          </w:p>
          <w:p>
            <w:pPr>
              <w:pStyle w:val="null3"/>
              <w:ind w:firstLine="400"/>
              <w:jc w:val="both"/>
            </w:pPr>
            <w:r>
              <w:rPr>
                <w:rFonts w:ascii="仿宋_GB2312" w:hAnsi="仿宋_GB2312" w:cs="仿宋_GB2312" w:eastAsia="仿宋_GB2312"/>
                <w:sz w:val="20"/>
              </w:rPr>
              <w:t>本项目采购服务为陕西省公路养护管理系统提供维护服务，覆盖系统全部核心子系统及相关数据、对接工作，具体包括但不限于公路资产管理、路面管理、桥梁管理、隧道管理、日常养护、养护工程、应急保通及构造物监测等子系统，支撑陕西省公路养护管理业务高效有序开展。</w:t>
            </w:r>
          </w:p>
          <w:p>
            <w:pPr>
              <w:pStyle w:val="null3"/>
              <w:jc w:val="both"/>
            </w:pPr>
            <w:r>
              <w:rPr>
                <w:rFonts w:ascii="仿宋_GB2312" w:hAnsi="仿宋_GB2312" w:cs="仿宋_GB2312" w:eastAsia="仿宋_GB2312"/>
                <w:sz w:val="24"/>
                <w:b/>
              </w:rPr>
              <w:t>1.3 服务期限</w:t>
            </w:r>
          </w:p>
          <w:p>
            <w:pPr>
              <w:pStyle w:val="null3"/>
              <w:ind w:firstLine="400"/>
              <w:jc w:val="left"/>
            </w:pPr>
            <w:r>
              <w:rPr>
                <w:rFonts w:ascii="仿宋_GB2312" w:hAnsi="仿宋_GB2312" w:cs="仿宋_GB2312" w:eastAsia="仿宋_GB2312"/>
                <w:sz w:val="20"/>
              </w:rPr>
              <w:t>服务期限为</w:t>
            </w:r>
            <w:r>
              <w:rPr>
                <w:rFonts w:ascii="仿宋_GB2312" w:hAnsi="仿宋_GB2312" w:cs="仿宋_GB2312" w:eastAsia="仿宋_GB2312"/>
                <w:sz w:val="20"/>
              </w:rPr>
              <w:t>1</w:t>
            </w:r>
            <w:r>
              <w:rPr>
                <w:rFonts w:ascii="仿宋_GB2312" w:hAnsi="仿宋_GB2312" w:cs="仿宋_GB2312" w:eastAsia="仿宋_GB2312"/>
                <w:sz w:val="20"/>
              </w:rPr>
              <w:t>年（自合同签订之日起计算）。</w:t>
            </w:r>
          </w:p>
          <w:p>
            <w:pPr>
              <w:pStyle w:val="null3"/>
              <w:jc w:val="both"/>
            </w:pPr>
            <w:r>
              <w:rPr>
                <w:rFonts w:ascii="仿宋_GB2312" w:hAnsi="仿宋_GB2312" w:cs="仿宋_GB2312" w:eastAsia="仿宋_GB2312"/>
                <w:sz w:val="24"/>
                <w:b/>
              </w:rPr>
              <w:t>1.4 服务地点</w:t>
            </w:r>
          </w:p>
          <w:p>
            <w:pPr>
              <w:pStyle w:val="null3"/>
              <w:ind w:firstLine="400"/>
              <w:jc w:val="both"/>
            </w:pPr>
            <w:r>
              <w:rPr>
                <w:rFonts w:ascii="仿宋_GB2312" w:hAnsi="仿宋_GB2312" w:cs="仿宋_GB2312" w:eastAsia="仿宋_GB2312"/>
                <w:sz w:val="20"/>
              </w:rPr>
              <w:t>采购人指定地点。</w:t>
            </w:r>
          </w:p>
          <w:p>
            <w:pPr>
              <w:pStyle w:val="null3"/>
              <w:jc w:val="both"/>
            </w:pPr>
            <w:r>
              <w:rPr>
                <w:rFonts w:ascii="仿宋_GB2312" w:hAnsi="仿宋_GB2312" w:cs="仿宋_GB2312" w:eastAsia="仿宋_GB2312"/>
                <w:sz w:val="24"/>
                <w:b/>
              </w:rPr>
              <w:t>二、付款方式</w:t>
            </w:r>
          </w:p>
          <w:p>
            <w:pPr>
              <w:pStyle w:val="null3"/>
              <w:jc w:val="both"/>
            </w:pPr>
            <w:r>
              <w:rPr>
                <w:rFonts w:ascii="仿宋_GB2312" w:hAnsi="仿宋_GB2312" w:cs="仿宋_GB2312" w:eastAsia="仿宋_GB2312"/>
                <w:sz w:val="24"/>
                <w:b/>
              </w:rPr>
              <w:t>2.1 付款原则</w:t>
            </w:r>
          </w:p>
          <w:p>
            <w:pPr>
              <w:pStyle w:val="null3"/>
              <w:ind w:firstLine="400"/>
              <w:jc w:val="both"/>
            </w:pPr>
            <w:r>
              <w:rPr>
                <w:rFonts w:ascii="仿宋_GB2312" w:hAnsi="仿宋_GB2312" w:cs="仿宋_GB2312" w:eastAsia="仿宋_GB2312"/>
                <w:sz w:val="20"/>
              </w:rPr>
              <w:t>严格遵循《政府采购需求管理办法》《保障中小企业款项支付条例》规定，按合同约定节点足额支付，不得设置无依据付款门槛，中小企业供应商付款时限最长不超过</w:t>
            </w:r>
            <w:r>
              <w:rPr>
                <w:rFonts w:ascii="仿宋_GB2312" w:hAnsi="仿宋_GB2312" w:cs="仿宋_GB2312" w:eastAsia="仿宋_GB2312"/>
                <w:sz w:val="20"/>
              </w:rPr>
              <w:t>60 日。</w:t>
            </w:r>
          </w:p>
          <w:p>
            <w:pPr>
              <w:pStyle w:val="null3"/>
              <w:jc w:val="both"/>
            </w:pPr>
            <w:r>
              <w:rPr>
                <w:rFonts w:ascii="仿宋_GB2312" w:hAnsi="仿宋_GB2312" w:cs="仿宋_GB2312" w:eastAsia="仿宋_GB2312"/>
                <w:sz w:val="24"/>
                <w:b/>
              </w:rPr>
              <w:t>2.2 支付节点与比例</w:t>
            </w:r>
          </w:p>
          <w:p>
            <w:pPr>
              <w:pStyle w:val="null3"/>
              <w:ind w:firstLine="400"/>
            </w:pPr>
            <w:r>
              <w:rPr>
                <w:rFonts w:ascii="仿宋_GB2312" w:hAnsi="仿宋_GB2312" w:cs="仿宋_GB2312" w:eastAsia="仿宋_GB2312"/>
                <w:sz w:val="20"/>
              </w:rPr>
              <w:t>采购包</w:t>
            </w:r>
            <w:r>
              <w:rPr>
                <w:rFonts w:ascii="仿宋_GB2312" w:hAnsi="仿宋_GB2312" w:cs="仿宋_GB2312" w:eastAsia="仿宋_GB2312"/>
                <w:sz w:val="20"/>
              </w:rPr>
              <w:t>1：付款条件说明：合同签订后，采购人收到履约保证金及增值税普通发票后，达到付款条件起15日内，支付合同总金额的60.00%。</w:t>
            </w:r>
          </w:p>
          <w:p>
            <w:pPr>
              <w:pStyle w:val="null3"/>
              <w:ind w:firstLine="400"/>
            </w:pPr>
            <w:r>
              <w:rPr>
                <w:rFonts w:ascii="仿宋_GB2312" w:hAnsi="仿宋_GB2312" w:cs="仿宋_GB2312" w:eastAsia="仿宋_GB2312"/>
                <w:sz w:val="20"/>
              </w:rPr>
              <w:t>采购包</w:t>
            </w:r>
            <w:r>
              <w:rPr>
                <w:rFonts w:ascii="仿宋_GB2312" w:hAnsi="仿宋_GB2312" w:cs="仿宋_GB2312" w:eastAsia="仿宋_GB2312"/>
                <w:sz w:val="20"/>
              </w:rPr>
              <w:t>1：付款条件说明：2026年12月</w:t>
            </w:r>
            <w:r>
              <w:rPr>
                <w:rFonts w:ascii="仿宋_GB2312" w:hAnsi="仿宋_GB2312" w:cs="仿宋_GB2312" w:eastAsia="仿宋_GB2312"/>
                <w:sz w:val="20"/>
              </w:rPr>
              <w:t>20</w:t>
            </w:r>
            <w:r>
              <w:rPr>
                <w:rFonts w:ascii="仿宋_GB2312" w:hAnsi="仿宋_GB2312" w:cs="仿宋_GB2312" w:eastAsia="仿宋_GB2312"/>
                <w:sz w:val="20"/>
              </w:rPr>
              <w:t>日前，乙方完成阶段性服务并经甲方确认合格，且收到乙方开具的合规发票后，甲方在达到付款条件之日起</w:t>
            </w:r>
            <w:r>
              <w:rPr>
                <w:rFonts w:ascii="仿宋_GB2312" w:hAnsi="仿宋_GB2312" w:cs="仿宋_GB2312" w:eastAsia="仿宋_GB2312"/>
                <w:sz w:val="20"/>
              </w:rPr>
              <w:t>15个工作日内，支付合同总金额的40%。</w:t>
            </w:r>
          </w:p>
          <w:p>
            <w:pPr>
              <w:pStyle w:val="null3"/>
              <w:jc w:val="both"/>
            </w:pPr>
            <w:r>
              <w:rPr>
                <w:rFonts w:ascii="仿宋_GB2312" w:hAnsi="仿宋_GB2312" w:cs="仿宋_GB2312" w:eastAsia="仿宋_GB2312"/>
                <w:sz w:val="24"/>
                <w:b/>
              </w:rPr>
              <w:t>2.3 支付要求</w:t>
            </w:r>
          </w:p>
          <w:p>
            <w:pPr>
              <w:pStyle w:val="null3"/>
              <w:ind w:firstLine="400"/>
              <w:jc w:val="both"/>
            </w:pPr>
            <w:r>
              <w:rPr>
                <w:rFonts w:ascii="仿宋_GB2312" w:hAnsi="仿宋_GB2312" w:cs="仿宋_GB2312" w:eastAsia="仿宋_GB2312"/>
                <w:sz w:val="20"/>
              </w:rPr>
              <w:t>不得将合同未约定的额外义务（如无偿培训、赠送设备）作为付款前置条件。</w:t>
            </w:r>
          </w:p>
          <w:p>
            <w:pPr>
              <w:pStyle w:val="null3"/>
              <w:numPr>
                <w:ilvl w:val="0"/>
                <w:numId w:val="1"/>
              </w:numPr>
              <w:jc w:val="both"/>
            </w:pPr>
            <w:r>
              <w:rPr>
                <w:rFonts w:ascii="仿宋_GB2312" w:hAnsi="仿宋_GB2312" w:cs="仿宋_GB2312" w:eastAsia="仿宋_GB2312"/>
                <w:sz w:val="24"/>
                <w:b/>
              </w:rPr>
              <w:t>技术要求</w:t>
            </w:r>
          </w:p>
          <w:p>
            <w:pPr>
              <w:pStyle w:val="null3"/>
              <w:ind w:firstLine="402"/>
              <w:jc w:val="both"/>
            </w:pPr>
            <w:r>
              <w:rPr>
                <w:rFonts w:ascii="仿宋_GB2312" w:hAnsi="仿宋_GB2312" w:cs="仿宋_GB2312" w:eastAsia="仿宋_GB2312"/>
                <w:sz w:val="20"/>
                <w:b/>
              </w:rPr>
              <w:t>3.1 运维技术标准与日常运维保障</w:t>
            </w:r>
          </w:p>
          <w:p>
            <w:pPr>
              <w:pStyle w:val="null3"/>
              <w:ind w:firstLine="402"/>
              <w:jc w:val="both"/>
            </w:pPr>
            <w:r>
              <w:rPr>
                <w:rFonts w:ascii="仿宋_GB2312" w:hAnsi="仿宋_GB2312" w:cs="仿宋_GB2312" w:eastAsia="仿宋_GB2312"/>
                <w:sz w:val="20"/>
                <w:b/>
              </w:rPr>
              <w:t>建立</w:t>
            </w:r>
            <w:r>
              <w:rPr>
                <w:rFonts w:ascii="仿宋_GB2312" w:hAnsi="仿宋_GB2312" w:cs="仿宋_GB2312" w:eastAsia="仿宋_GB2312"/>
                <w:sz w:val="20"/>
              </w:rPr>
              <w:t>标准化运维流程，涵盖系统巡检、性能监测、故障诊断与处置、版本管理等全周期管理，确保系统</w:t>
            </w:r>
            <w:r>
              <w:rPr>
                <w:rFonts w:ascii="仿宋_GB2312" w:hAnsi="仿宋_GB2312" w:cs="仿宋_GB2312" w:eastAsia="仿宋_GB2312"/>
                <w:sz w:val="20"/>
              </w:rPr>
              <w:t>7×24小时稳定运行，满足高可用性要求。</w:t>
            </w:r>
          </w:p>
          <w:p>
            <w:pPr>
              <w:pStyle w:val="null3"/>
              <w:ind w:firstLine="402"/>
              <w:jc w:val="both"/>
            </w:pPr>
            <w:r>
              <w:rPr>
                <w:rFonts w:ascii="仿宋_GB2312" w:hAnsi="仿宋_GB2312" w:cs="仿宋_GB2312" w:eastAsia="仿宋_GB2312"/>
                <w:sz w:val="20"/>
                <w:b/>
              </w:rPr>
              <w:t>数据运维与备份要求。</w:t>
            </w:r>
            <w:r>
              <w:rPr>
                <w:rFonts w:ascii="仿宋_GB2312" w:hAnsi="仿宋_GB2312" w:cs="仿宋_GB2312" w:eastAsia="仿宋_GB2312"/>
                <w:sz w:val="20"/>
              </w:rPr>
              <w:t>制定严格的数据管理规范，确保公路基础数据、监测数据及业务数据的完整性、准确性和时效性；实施关键数据季度备份与恢复测试机制，保障数据安全与业务连续性。</w:t>
            </w:r>
          </w:p>
          <w:p>
            <w:pPr>
              <w:pStyle w:val="null3"/>
              <w:ind w:firstLine="402"/>
              <w:jc w:val="both"/>
            </w:pPr>
            <w:r>
              <w:rPr>
                <w:rFonts w:ascii="仿宋_GB2312" w:hAnsi="仿宋_GB2312" w:cs="仿宋_GB2312" w:eastAsia="仿宋_GB2312"/>
                <w:sz w:val="20"/>
                <w:b/>
              </w:rPr>
              <w:t>应急响应技术要求。</w:t>
            </w:r>
            <w:r>
              <w:rPr>
                <w:rFonts w:ascii="仿宋_GB2312" w:hAnsi="仿宋_GB2312" w:cs="仿宋_GB2312" w:eastAsia="仿宋_GB2312"/>
                <w:sz w:val="20"/>
              </w:rPr>
              <w:t>构建分级故障响应体系，明确不同级别故障的处置流程与时限；建立应急响应支持团队，提供</w:t>
            </w:r>
            <w:r>
              <w:rPr>
                <w:rFonts w:ascii="仿宋_GB2312" w:hAnsi="仿宋_GB2312" w:cs="仿宋_GB2312" w:eastAsia="仿宋_GB2312"/>
                <w:sz w:val="20"/>
              </w:rPr>
              <w:t>7×24小时技术支持，确保重大故障30分钟内响应、2小时内恢复核心功能。</w:t>
            </w:r>
          </w:p>
          <w:p>
            <w:pPr>
              <w:pStyle w:val="null3"/>
              <w:ind w:firstLine="402"/>
              <w:jc w:val="both"/>
            </w:pPr>
            <w:r>
              <w:rPr>
                <w:rFonts w:ascii="仿宋_GB2312" w:hAnsi="仿宋_GB2312" w:cs="仿宋_GB2312" w:eastAsia="仿宋_GB2312"/>
                <w:sz w:val="20"/>
                <w:b/>
              </w:rPr>
              <w:t>3.2数据处理要求</w:t>
            </w:r>
          </w:p>
          <w:p>
            <w:pPr>
              <w:pStyle w:val="null3"/>
              <w:ind w:firstLine="400"/>
              <w:jc w:val="both"/>
            </w:pPr>
            <w:r>
              <w:rPr>
                <w:rFonts w:ascii="仿宋_GB2312" w:hAnsi="仿宋_GB2312" w:cs="仿宋_GB2312" w:eastAsia="仿宋_GB2312"/>
                <w:sz w:val="20"/>
              </w:rPr>
              <w:t>投标人须按省公路局养护管理需求，提供实时数据处理服务，包括对系统产生的养护数据进行汇总、统计、分析、整理，并按国家、行业及省公路局制度要求出具各类报表，满足日常管理、决策分析及汇报需求；同时协助公路技术状况检测等业务数据入库，确保数据准确整合、规范存储，支撑系统功能应用。</w:t>
            </w:r>
          </w:p>
          <w:p>
            <w:pPr>
              <w:pStyle w:val="null3"/>
              <w:ind w:firstLine="402"/>
              <w:jc w:val="both"/>
            </w:pPr>
            <w:r>
              <w:rPr>
                <w:rFonts w:ascii="仿宋_GB2312" w:hAnsi="仿宋_GB2312" w:cs="仿宋_GB2312" w:eastAsia="仿宋_GB2312"/>
                <w:sz w:val="20"/>
                <w:b/>
              </w:rPr>
              <w:t>3.3技术适配要求。</w:t>
            </w:r>
            <w:r>
              <w:rPr>
                <w:rFonts w:ascii="仿宋_GB2312" w:hAnsi="仿宋_GB2312" w:cs="仿宋_GB2312" w:eastAsia="仿宋_GB2312"/>
                <w:sz w:val="20"/>
              </w:rPr>
              <w:t>投标人须按年度常态化完成陕西省公路养护管理系统与公路养护统计数据交换对接，并按交通运输部要求，实现与国家公路网桥梁、隧道基础数据库的数据对接；同时制定省长大桥梁（隧道）结构监测省级平台对接方案，保障数据常态化同步服务，确保系统间数据一致、及时、合规。</w:t>
            </w:r>
          </w:p>
          <w:p>
            <w:pPr>
              <w:pStyle w:val="null3"/>
              <w:ind w:firstLine="402"/>
              <w:jc w:val="both"/>
            </w:pPr>
            <w:r>
              <w:rPr>
                <w:rFonts w:ascii="仿宋_GB2312" w:hAnsi="仿宋_GB2312" w:cs="仿宋_GB2312" w:eastAsia="仿宋_GB2312"/>
                <w:sz w:val="20"/>
                <w:b/>
              </w:rPr>
              <w:t>养护优化支持：</w:t>
            </w:r>
            <w:r>
              <w:rPr>
                <w:rFonts w:ascii="仿宋_GB2312" w:hAnsi="仿宋_GB2312" w:cs="仿宋_GB2312" w:eastAsia="仿宋_GB2312"/>
                <w:sz w:val="20"/>
              </w:rPr>
              <w:t>每季度提供</w:t>
            </w:r>
            <w:r>
              <w:rPr>
                <w:rFonts w:ascii="仿宋_GB2312" w:hAnsi="仿宋_GB2312" w:cs="仿宋_GB2312" w:eastAsia="仿宋_GB2312"/>
                <w:sz w:val="20"/>
              </w:rPr>
              <w:t>1 次系统运行分析报告，结合养护数据提出至少 2 项优化建议（如养护界面、系统功能优化等），助力系统运行流畅性；</w:t>
            </w:r>
          </w:p>
          <w:p>
            <w:pPr>
              <w:pStyle w:val="null3"/>
              <w:ind w:firstLine="402"/>
              <w:jc w:val="both"/>
            </w:pPr>
            <w:r>
              <w:rPr>
                <w:rFonts w:ascii="仿宋_GB2312" w:hAnsi="仿宋_GB2312" w:cs="仿宋_GB2312" w:eastAsia="仿宋_GB2312"/>
                <w:sz w:val="20"/>
                <w:b/>
              </w:rPr>
              <w:t>绿色运维：</w:t>
            </w:r>
            <w:r>
              <w:rPr>
                <w:rFonts w:ascii="仿宋_GB2312" w:hAnsi="仿宋_GB2312" w:cs="仿宋_GB2312" w:eastAsia="仿宋_GB2312"/>
                <w:sz w:val="20"/>
              </w:rPr>
              <w:t>落实资源节约要求，采用数据中心低碳运行、再生资源合理利用等措施，每年提供绿色运维实施报告。</w:t>
            </w:r>
          </w:p>
          <w:p>
            <w:pPr>
              <w:pStyle w:val="null3"/>
              <w:ind w:firstLine="402"/>
              <w:jc w:val="both"/>
            </w:pPr>
            <w:r>
              <w:rPr>
                <w:rFonts w:ascii="仿宋_GB2312" w:hAnsi="仿宋_GB2312" w:cs="仿宋_GB2312" w:eastAsia="仿宋_GB2312"/>
                <w:sz w:val="20"/>
                <w:b/>
              </w:rPr>
              <w:t>3.4 安全技术要求</w:t>
            </w:r>
          </w:p>
          <w:p>
            <w:pPr>
              <w:pStyle w:val="null3"/>
              <w:ind w:firstLine="402"/>
              <w:jc w:val="both"/>
            </w:pPr>
            <w:r>
              <w:rPr>
                <w:rFonts w:ascii="仿宋_GB2312" w:hAnsi="仿宋_GB2312" w:cs="仿宋_GB2312" w:eastAsia="仿宋_GB2312"/>
                <w:sz w:val="20"/>
                <w:b/>
              </w:rPr>
              <w:t>数据安全与系统防护。</w:t>
            </w:r>
            <w:r>
              <w:rPr>
                <w:rFonts w:ascii="仿宋_GB2312" w:hAnsi="仿宋_GB2312" w:cs="仿宋_GB2312" w:eastAsia="仿宋_GB2312"/>
                <w:sz w:val="20"/>
              </w:rPr>
              <w:t>建立分级保密制度，通过数据加密、访问权限控制、安全审等措施，构建多层次安全防护体系，确保全年无安全事故；对采购人开展的安全漏洞扫描、渗透测试等在规定时间内完成整改，及时修复风险隐患，防范网络攻击与数据泄露风险，满足等保二级合规要求。</w:t>
            </w:r>
          </w:p>
          <w:p>
            <w:pPr>
              <w:pStyle w:val="null3"/>
              <w:jc w:val="both"/>
            </w:pPr>
            <w:r>
              <w:rPr>
                <w:rFonts w:ascii="仿宋_GB2312" w:hAnsi="仿宋_GB2312" w:cs="仿宋_GB2312" w:eastAsia="仿宋_GB2312"/>
                <w:sz w:val="24"/>
                <w:b/>
              </w:rPr>
              <w:t>四、商务要求</w:t>
            </w:r>
          </w:p>
          <w:p>
            <w:pPr>
              <w:pStyle w:val="null3"/>
              <w:ind w:firstLine="402"/>
              <w:jc w:val="both"/>
            </w:pPr>
            <w:r>
              <w:rPr>
                <w:rFonts w:ascii="仿宋_GB2312" w:hAnsi="仿宋_GB2312" w:cs="仿宋_GB2312" w:eastAsia="仿宋_GB2312"/>
                <w:sz w:val="20"/>
                <w:b/>
              </w:rPr>
              <w:t>4.1 服务团队要求</w:t>
            </w:r>
          </w:p>
          <w:p>
            <w:pPr>
              <w:pStyle w:val="null3"/>
              <w:ind w:firstLine="402"/>
              <w:jc w:val="both"/>
            </w:pPr>
            <w:r>
              <w:rPr>
                <w:rFonts w:ascii="仿宋_GB2312" w:hAnsi="仿宋_GB2312" w:cs="仿宋_GB2312" w:eastAsia="仿宋_GB2312"/>
                <w:sz w:val="20"/>
                <w:b/>
              </w:rPr>
              <w:t>项目负责人</w:t>
            </w:r>
            <w:r>
              <w:rPr>
                <w:rFonts w:ascii="仿宋_GB2312" w:hAnsi="仿宋_GB2312" w:cs="仿宋_GB2312" w:eastAsia="仿宋_GB2312"/>
                <w:sz w:val="20"/>
                <w:b/>
              </w:rPr>
              <w:t>：</w:t>
            </w:r>
            <w:r>
              <w:rPr>
                <w:rFonts w:ascii="仿宋_GB2312" w:hAnsi="仿宋_GB2312" w:cs="仿宋_GB2312" w:eastAsia="仿宋_GB2312"/>
                <w:sz w:val="20"/>
              </w:rPr>
              <w:t>应具有计算机或公路类相关专业中级及以上职称，相关项目经验，</w:t>
            </w:r>
            <w:r>
              <w:rPr>
                <w:rFonts w:ascii="仿宋_GB2312" w:hAnsi="仿宋_GB2312" w:cs="仿宋_GB2312" w:eastAsia="仿宋_GB2312"/>
                <w:sz w:val="20"/>
              </w:rPr>
              <w:t>平均</w:t>
            </w:r>
            <w:r>
              <w:rPr>
                <w:rFonts w:ascii="仿宋_GB2312" w:hAnsi="仿宋_GB2312" w:cs="仿宋_GB2312" w:eastAsia="仿宋_GB2312"/>
                <w:sz w:val="20"/>
              </w:rPr>
              <w:t>每月不少于</w:t>
            </w:r>
            <w:r>
              <w:rPr>
                <w:rFonts w:ascii="仿宋_GB2312" w:hAnsi="仿宋_GB2312" w:cs="仿宋_GB2312" w:eastAsia="仿宋_GB2312"/>
                <w:sz w:val="20"/>
              </w:rPr>
              <w:t>7</w:t>
            </w:r>
            <w:r>
              <w:rPr>
                <w:rFonts w:ascii="仿宋_GB2312" w:hAnsi="仿宋_GB2312" w:cs="仿宋_GB2312" w:eastAsia="仿宋_GB2312"/>
                <w:sz w:val="20"/>
              </w:rPr>
              <w:t>个工作日驻场服务，不得擅自更换（更换需经采购人书面同意，且继任者资质不低于原负责人）；</w:t>
            </w:r>
          </w:p>
          <w:p>
            <w:pPr>
              <w:pStyle w:val="null3"/>
              <w:ind w:firstLine="402"/>
              <w:jc w:val="both"/>
            </w:pPr>
            <w:r>
              <w:rPr>
                <w:rFonts w:ascii="仿宋_GB2312" w:hAnsi="仿宋_GB2312" w:cs="仿宋_GB2312" w:eastAsia="仿宋_GB2312"/>
                <w:sz w:val="20"/>
                <w:b/>
              </w:rPr>
              <w:t>人员稳定性：</w:t>
            </w:r>
            <w:r>
              <w:rPr>
                <w:rFonts w:ascii="仿宋_GB2312" w:hAnsi="仿宋_GB2312" w:cs="仿宋_GB2312" w:eastAsia="仿宋_GB2312"/>
                <w:sz w:val="20"/>
              </w:rPr>
              <w:t>服务期内核心团队人员更换率</w:t>
            </w:r>
            <w:r>
              <w:rPr>
                <w:rFonts w:ascii="仿宋_GB2312" w:hAnsi="仿宋_GB2312" w:cs="仿宋_GB2312" w:eastAsia="仿宋_GB2312"/>
                <w:sz w:val="20"/>
              </w:rPr>
              <w:t>≤20%，更换人员需提前 15 个工作日报备并提供资质证明，经采购人审核通过后方可上岗。</w:t>
            </w:r>
          </w:p>
          <w:p>
            <w:pPr>
              <w:pStyle w:val="null3"/>
              <w:ind w:firstLine="402"/>
              <w:jc w:val="both"/>
            </w:pPr>
            <w:r>
              <w:rPr>
                <w:rFonts w:ascii="仿宋_GB2312" w:hAnsi="仿宋_GB2312" w:cs="仿宋_GB2312" w:eastAsia="仿宋_GB2312"/>
                <w:sz w:val="20"/>
                <w:b/>
              </w:rPr>
              <w:t>4.2 履约保障要求</w:t>
            </w:r>
          </w:p>
          <w:p>
            <w:pPr>
              <w:pStyle w:val="null3"/>
              <w:ind w:firstLine="402"/>
              <w:jc w:val="both"/>
            </w:pPr>
            <w:r>
              <w:rPr>
                <w:rFonts w:ascii="仿宋_GB2312" w:hAnsi="仿宋_GB2312" w:cs="仿宋_GB2312" w:eastAsia="仿宋_GB2312"/>
                <w:sz w:val="20"/>
                <w:b/>
              </w:rPr>
              <w:t>本地化服务：中标单位在陕西省内没有固定办公地点的，应提供满足</w:t>
            </w:r>
            <w:r>
              <w:rPr>
                <w:rFonts w:ascii="仿宋_GB2312" w:hAnsi="仿宋_GB2312" w:cs="仿宋_GB2312" w:eastAsia="仿宋_GB2312"/>
                <w:sz w:val="20"/>
                <w:b/>
              </w:rPr>
              <w:t>平均每月不少于</w:t>
            </w:r>
            <w:r>
              <w:rPr>
                <w:rFonts w:ascii="仿宋_GB2312" w:hAnsi="仿宋_GB2312" w:cs="仿宋_GB2312" w:eastAsia="仿宋_GB2312"/>
                <w:sz w:val="20"/>
                <w:b/>
              </w:rPr>
              <w:t>7</w:t>
            </w:r>
            <w:r>
              <w:rPr>
                <w:rFonts w:ascii="仿宋_GB2312" w:hAnsi="仿宋_GB2312" w:cs="仿宋_GB2312" w:eastAsia="仿宋_GB2312"/>
                <w:sz w:val="20"/>
                <w:b/>
              </w:rPr>
              <w:t>个工作日驻场服务的承诺函。</w:t>
            </w:r>
          </w:p>
          <w:p>
            <w:pPr>
              <w:pStyle w:val="null3"/>
              <w:ind w:firstLine="402"/>
              <w:jc w:val="both"/>
            </w:pPr>
            <w:r>
              <w:rPr>
                <w:rFonts w:ascii="仿宋_GB2312" w:hAnsi="仿宋_GB2312" w:cs="仿宋_GB2312" w:eastAsia="仿宋_GB2312"/>
                <w:sz w:val="20"/>
                <w:b/>
              </w:rPr>
              <w:t>服务保障体系：</w:t>
            </w:r>
            <w:r>
              <w:rPr>
                <w:rFonts w:ascii="仿宋_GB2312" w:hAnsi="仿宋_GB2312" w:cs="仿宋_GB2312" w:eastAsia="仿宋_GB2312"/>
                <w:sz w:val="20"/>
              </w:rPr>
              <w:t>建立健全服务质量管理制度、安全保密制度，每季度开展</w:t>
            </w:r>
            <w:r>
              <w:rPr>
                <w:rFonts w:ascii="仿宋_GB2312" w:hAnsi="仿宋_GB2312" w:cs="仿宋_GB2312" w:eastAsia="仿宋_GB2312"/>
                <w:sz w:val="20"/>
              </w:rPr>
              <w:t>1 次服务满意度调查（满意度≥90 分），并提供服务报告；</w:t>
            </w:r>
          </w:p>
          <w:p>
            <w:pPr>
              <w:pStyle w:val="null3"/>
              <w:ind w:firstLine="402"/>
              <w:jc w:val="both"/>
            </w:pPr>
            <w:r>
              <w:rPr>
                <w:rFonts w:ascii="仿宋_GB2312" w:hAnsi="仿宋_GB2312" w:cs="仿宋_GB2312" w:eastAsia="仿宋_GB2312"/>
                <w:sz w:val="20"/>
                <w:b/>
              </w:rPr>
              <w:t>培训支持：</w:t>
            </w:r>
            <w:r>
              <w:rPr>
                <w:rFonts w:ascii="仿宋_GB2312" w:hAnsi="仿宋_GB2312" w:cs="仿宋_GB2312" w:eastAsia="仿宋_GB2312"/>
                <w:sz w:val="20"/>
              </w:rPr>
              <w:t>提供不少于</w:t>
            </w:r>
            <w:r>
              <w:rPr>
                <w:rFonts w:ascii="仿宋_GB2312" w:hAnsi="仿宋_GB2312" w:cs="仿宋_GB2312" w:eastAsia="仿宋_GB2312"/>
                <w:sz w:val="20"/>
              </w:rPr>
              <w:t>1 次系统操作培训，培训形式包括线上或线下培训、答疑等，确保工作人员熟练使用系统功能。</w:t>
            </w:r>
          </w:p>
          <w:p>
            <w:pPr>
              <w:pStyle w:val="null3"/>
              <w:ind w:firstLine="402"/>
              <w:jc w:val="both"/>
            </w:pPr>
            <w:r>
              <w:rPr>
                <w:rFonts w:ascii="仿宋_GB2312" w:hAnsi="仿宋_GB2312" w:cs="仿宋_GB2312" w:eastAsia="仿宋_GB2312"/>
                <w:sz w:val="20"/>
                <w:b/>
              </w:rPr>
              <w:t>4.3 验收要求</w:t>
            </w:r>
          </w:p>
          <w:p>
            <w:pPr>
              <w:pStyle w:val="null3"/>
            </w:pPr>
            <w:r>
              <w:rPr>
                <w:rFonts w:ascii="仿宋_GB2312" w:hAnsi="仿宋_GB2312" w:cs="仿宋_GB2312" w:eastAsia="仿宋_GB2312"/>
                <w:sz w:val="20"/>
              </w:rPr>
              <w:t>服务期满后，依据《公路养护技术标准》（</w:t>
            </w:r>
            <w:r>
              <w:rPr>
                <w:rFonts w:ascii="仿宋_GB2312" w:hAnsi="仿宋_GB2312" w:cs="仿宋_GB2312" w:eastAsia="仿宋_GB2312"/>
                <w:sz w:val="20"/>
              </w:rPr>
              <w:t>JTG 5110—2023）及合同约定，对系统运维效果、养护支持成效、服务满意度等进行综合验收，验收不合格的，供应商需在 15 日内整改完成。</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服务期限为1年（自合同签订之日起计算）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进度款，合同签订后，采购人收到履约保证金及增值税普通发票后，达到付款条件起15个工作日内，支付合同总金额的60.0%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进度款，2026年12月20日前，乙方完成阶段性服务并经甲方确认合格，且收到乙方开具的合规发票后，达到付款条件起15个工作日内，支付合同总金额的40.0%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（一）甲乙双方必须遵守本合同并执行合同中的各项规定，保证本合同的正常履行。 （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（四）乙方逾期完成服务的，每逾期一次，向甲方承担合同总金额 0.05 %的违约金，违约金不超过合同总价款的5%。逾期 5 次的，甲方有权单方解除本合同且保留追究乙方违约责任的权利，给甲方造成损失的，乙方还应予以赔偿。 （五）乙方应保证其提交的服务成果不存在侵犯他人权益的情形，否则，因此引发的责任及纠纷由乙方承担，对甲方造成损失的，乙方应予以赔偿，此外，乙方还应向甲方承担合同总金额 5 %的违约金。 （六）乙方应对其服务及服务成果的合法性、科学性、有效性、客观性、真实性负责，否则，相关责任及纠纷由乙方承担，对甲方造成损失的，乙方应予赔偿，此外，乙方还应向甲方承担合同总金额5%的违约金。 （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 （八）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 二、合同争议的解决 在执行本合同中发生的或与本合同有关的争端，双方应通过友好协商解决，经协商无法解决的，应向甲方所在地有管辖权的人民法院提请诉讼。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供应商在领取中标通知书前向代理机构提供纸质版磋商响应文件（磋商响应文件必须与在陕西省政府采购综合管理平台的项目电子化交易系统中递交的电子响应文件内容一致），磋商响应文件为正本一份，副本二份，电子U盘二个（U盘内容包括Word版本、签字盖章扫描后的PDF版本响应文件）。纸质响应文件均须A4纸打印，分别各自装订成册并编制目录和页码。 2.本项目所属行业为：软件和信息技术服务业。 3.供应商的投标报价是供应商响应项目要求的全部工作内容的价格体现，包括但不限于供应商完成本项目的人工费、服务费、管理费、验收费、资料费、采购代理服务费、利润和税费；在提供服务的过程中的任何遗漏，均由成交供应商免费提供，采购人将不再支付任何费用。 4.如磋商文件中融资相关内容与新政策要求有出入，按照最新要求执行。 5.文件第二章 2.6.3条为系统固定模板，实际按第八章第十四条第（三）款要求执行。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营业执照：有独立承担民事责任能力的法人、其他组织或自然人，供应商是法人或其他组织的应提供营业执照等证明文件，自然人提供有效的自然人身份证明；（联合体投标的，联合体各方均需提供，并加盖联合体成员公章。） 2.完税证明：供应商须提供投标截止时间前一年内，已缴纳的任意一个月的纳税证明或完税证明，纳税证明或完税证明上应有代收机构或税务机关的公章或业务专用章，依法免税的供应商应提供相关文件证明； （联合体投标的，联合体各方均需提供，并加盖联合体成员公章。）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联合体投标的，联合体各方均需提供，并加盖联合体成员公章。） 4.无重大违法记录的书面声明：提供参加政府采购活动前三年内，在经营活动中没有重大违法记录的书面声明； （牵头单位提供书面声明，加盖供应商公章） 5.履约声明：具有履行合同所必需的设备和专业技术能力的书面声明；（牵头单位提供书面声明，加盖供应商公章）</w:t>
            </w:r>
          </w:p>
        </w:tc>
        <w:tc>
          <w:tcPr>
            <w:tcW w:type="dxa" w:w="1661"/>
          </w:tcPr>
          <w:p>
            <w:pPr>
              <w:pStyle w:val="null3"/>
            </w:pPr>
            <w:r>
              <w:rPr>
                <w:rFonts w:ascii="仿宋_GB2312" w:hAnsi="仿宋_GB2312" w:cs="仿宋_GB2312" w:eastAsia="仿宋_GB2312"/>
              </w:rPr>
              <w:t>一般资格审查证明文件.docx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供应商须提供2024或2025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资信证明需提供投标截止时间前6个月内）及基本存款账户开户许可证（或基本账户信息）； （联合体投标的，联合体各方均需提供，并加盖联合体成员公章。）</w:t>
            </w:r>
          </w:p>
        </w:tc>
        <w:tc>
          <w:tcPr>
            <w:tcW w:type="dxa" w:w="1661"/>
          </w:tcPr>
          <w:p>
            <w:pPr>
              <w:pStyle w:val="null3"/>
            </w:pPr>
            <w:r>
              <w:rPr>
                <w:rFonts w:ascii="仿宋_GB2312" w:hAnsi="仿宋_GB2312" w:cs="仿宋_GB2312" w:eastAsia="仿宋_GB2312"/>
              </w:rPr>
              <w:t>一般资格审查证明文件.docx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供应商需在项目电子化交易系统中按要求填写《投标函》完成承诺并进行电子签章。（牵头单位提供书面承诺函，加盖供应商公章）</w:t>
            </w:r>
          </w:p>
        </w:tc>
        <w:tc>
          <w:tcPr>
            <w:tcW w:type="dxa" w:w="1661"/>
          </w:tcPr>
          <w:p>
            <w:pPr>
              <w:pStyle w:val="null3"/>
            </w:pPr>
            <w:r>
              <w:rPr>
                <w:rFonts w:ascii="仿宋_GB2312" w:hAnsi="仿宋_GB2312" w:cs="仿宋_GB2312" w:eastAsia="仿宋_GB2312"/>
              </w:rPr>
              <w:t>一般资格审查证明文件.docx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法定代表人授权书(附法定代表人、被授权人身份证复印件)及被授权人身份证复印件(法定代表人直接参加投标的，须提供法定代表人身份证明及身份证复印件)；非法人单位参照执行。（牵头单位提供）</w:t>
            </w:r>
          </w:p>
        </w:tc>
        <w:tc>
          <w:tcPr>
            <w:tcW w:type="dxa" w:w="1661"/>
          </w:tcPr>
          <w:p>
            <w:pPr>
              <w:pStyle w:val="null3"/>
            </w:pPr>
            <w:r>
              <w:rPr>
                <w:rFonts w:ascii="仿宋_GB2312" w:hAnsi="仿宋_GB2312" w:cs="仿宋_GB2312" w:eastAsia="仿宋_GB2312"/>
              </w:rPr>
              <w:t>特殊资格审查证明文件.docx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单位负责人为同一人或者存在直接控股、管理关系的不同供应商，不得参加同一项目的招标活动。（牵头单位提供书面承诺函，加盖供应商公章）</w:t>
            </w:r>
          </w:p>
        </w:tc>
        <w:tc>
          <w:tcPr>
            <w:tcW w:type="dxa" w:w="1661"/>
          </w:tcPr>
          <w:p>
            <w:pPr>
              <w:pStyle w:val="null3"/>
            </w:pPr>
            <w:r>
              <w:rPr>
                <w:rFonts w:ascii="仿宋_GB2312" w:hAnsi="仿宋_GB2312" w:cs="仿宋_GB2312" w:eastAsia="仿宋_GB2312"/>
              </w:rPr>
              <w:t>特殊资格审查证明文件.docx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提供《供应商信用记录书面声明函》。经查，供应商未被列入“信用中国”网站记录的“失信被执行人”或“重大税收违法失信主体”名单；不处于“中国政府采购网”记录的“政府采购严重违法失信行为记录名单”中的禁止参加政府采购活动期间；联合体投标的，联合体各方均需提供，并加盖联合体成员公章。</w:t>
            </w:r>
          </w:p>
        </w:tc>
        <w:tc>
          <w:tcPr>
            <w:tcW w:type="dxa" w:w="1661"/>
          </w:tcPr>
          <w:p>
            <w:pPr>
              <w:pStyle w:val="null3"/>
            </w:pPr>
            <w:r>
              <w:rPr>
                <w:rFonts w:ascii="仿宋_GB2312" w:hAnsi="仿宋_GB2312" w:cs="仿宋_GB2312" w:eastAsia="仿宋_GB2312"/>
              </w:rPr>
              <w:t>特殊资格审查证明文件.docx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本项目接受联合体投标。（提供联合体协议书）</w:t>
            </w:r>
          </w:p>
        </w:tc>
        <w:tc>
          <w:tcPr>
            <w:tcW w:type="dxa" w:w="1661"/>
          </w:tcPr>
          <w:p>
            <w:pPr>
              <w:pStyle w:val="null3"/>
            </w:pPr>
            <w:r>
              <w:rPr>
                <w:rFonts w:ascii="仿宋_GB2312" w:hAnsi="仿宋_GB2312" w:cs="仿宋_GB2312" w:eastAsia="仿宋_GB2312"/>
              </w:rPr>
              <w:t>特殊资格审查证明文件.docx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采购人可以结合具体项目实际情况，提高上述第1项至第3项中启动异常低价投标（响应）审查的数值标准，但是最高不得超过65%。 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采购人、采购代理机构应当为磋商小组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异常低价投标（响应）审查的启动原因、审查意见和审查结果应当在评审报告中记录，并随供应商提供的相关书面说明及证明材料，以及磋商小组有关互联网浏览、查询历史一并归档。 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磋商响应文件签字盖章要求</w:t>
            </w:r>
          </w:p>
        </w:tc>
        <w:tc>
          <w:tcPr>
            <w:tcW w:type="dxa" w:w="3322"/>
          </w:tcPr>
          <w:p>
            <w:pPr>
              <w:pStyle w:val="null3"/>
            </w:pPr>
            <w:r>
              <w:rPr>
                <w:rFonts w:ascii="仿宋_GB2312" w:hAnsi="仿宋_GB2312" w:cs="仿宋_GB2312" w:eastAsia="仿宋_GB2312"/>
              </w:rPr>
              <w:t>供应商应按磋商文件要求对磋商响应文件进行电子签章。</w:t>
            </w:r>
          </w:p>
        </w:tc>
        <w:tc>
          <w:tcPr>
            <w:tcW w:type="dxa" w:w="1661"/>
          </w:tcPr>
          <w:p>
            <w:pPr>
              <w:pStyle w:val="null3"/>
            </w:pPr>
            <w:r>
              <w:rPr>
                <w:rFonts w:ascii="仿宋_GB2312" w:hAnsi="仿宋_GB2312" w:cs="仿宋_GB2312" w:eastAsia="仿宋_GB2312"/>
              </w:rPr>
              <w:t>业绩一览表.docx 服务内容及服务邀请应答表 中小企业声明函 商务应答表 一般资格审查证明文件.docx 供应商应提交的相关资格证明材料 响应文件封面 设备清单.docx 残疾人福利性单位声明函 服务方案 标的清单 响应函 监狱企业的证明文件 特殊资格审查证明文件.docx 人员清单.docx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业绩一览表.docx 服务内容及服务邀请应答表 中小企业声明函 商务应答表 一般资格审查证明文件.docx 供应商应提交的相关资格证明材料 响应文件封面 设备清单.docx 残疾人福利性单位声明函 服务方案 标的清单 响应函 监狱企业的证明文件 特殊资格审查证明文件.docx 人员清单.docx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报价超过磋商文件中规定的最高限价的</w:t>
            </w:r>
          </w:p>
        </w:tc>
        <w:tc>
          <w:tcPr>
            <w:tcW w:type="dxa" w:w="3322"/>
          </w:tcPr>
          <w:p>
            <w:pPr>
              <w:pStyle w:val="null3"/>
            </w:pPr>
            <w:r>
              <w:rPr>
                <w:rFonts w:ascii="仿宋_GB2312" w:hAnsi="仿宋_GB2312" w:cs="仿宋_GB2312" w:eastAsia="仿宋_GB2312"/>
              </w:rPr>
              <w:t>报价唯一，报价不得超过磋商文件中规定的最高限价。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提交磋商响应文件的截止之日起不少于90天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符合磋商文件要求，提供磋商保证金缴纳凭证或担保机构出具的保函</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对磋商响应文件响应程度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业绩一览表.docx 服务内容及服务邀请应答表 中小企业声明函 商务应答表 一般资格审查证明文件.docx 供应商应提交的相关资格证明材料 设备清单.docx 响应文件封面 残疾人福利性单位声明函 服务方案 标的清单 响应函 监狱企业的证明文件 特殊资格审查证明文件.docx 人员清单.docx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近3年完成类似业绩，每个业绩得3分,最高得15分。 注：近3年(2023年1月1日以来)，以合同签订时间为准的业绩，需提供合同复印件、并加盖供应商企业公章。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项目负责人（8分）： 1.具有计算机或公路类相关专业高级职称，且 5 年以上系统运维经验：得8分； 2.具有计算机或公路类相关专业中级职称，且 3 年以上系统运维经验：得5 分； 3.满足基本从业要求（2 年以上经验）：得3分； 4.具有计算机或公路类相关专业中级职称，有基本经验的（不足2年）：得1 分。 证明材料： ①需提供身份证复印件（加盖公章）； ②职称证复印件（加盖公章）； ③磋商截止时间前 6 个月任意 1 个月社保证明（单位名称与投标人一致）； ④岗位/经验证明 提供过往参与的系统运维项目合同（可与企业业绩重复），合同中应明确体现项目名称、服务内容（包含运维、系统维护等字样）、合同签订时间及能体现为所提供合同的项目负责人身份的证明材料。评委会根据合同时间跨度合计来核算从业年限。 以上4项缺一不可（无职称除外）。 项目组成团队（8分）： 1.核心团队≥5人（不含项目负责人），均持有相关专业证书：得8分； 2.核心团队 3-4 人，半数以上持有相关专业证书：得5分； 3.核心团队≤2 人，有或无相关专业证书：得2 分。 证明材料：①需提供身份证复印件（加盖公章）；②相关正式复印件（加盖公章）；③磋商截止时间前 6 个月任意 1 个月社保证明（单位名称与投标人一致）；以上3项缺一不可（无证书除外）。</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人员清单.docx</w:t>
            </w:r>
          </w:p>
        </w:tc>
      </w:tr>
      <w:tr>
        <w:tc>
          <w:tcPr>
            <w:tcW w:type="dxa" w:w="831"/>
            <w:vMerge/>
          </w:tcPr>
          <w:p/>
        </w:tc>
        <w:tc>
          <w:tcPr>
            <w:tcW w:type="dxa" w:w="1661"/>
          </w:tcPr>
          <w:p>
            <w:pPr>
              <w:pStyle w:val="null3"/>
            </w:pPr>
            <w:r>
              <w:rPr>
                <w:rFonts w:ascii="仿宋_GB2312" w:hAnsi="仿宋_GB2312" w:cs="仿宋_GB2312" w:eastAsia="仿宋_GB2312"/>
              </w:rPr>
              <w:t>日常运维方案</w:t>
            </w:r>
          </w:p>
        </w:tc>
        <w:tc>
          <w:tcPr>
            <w:tcW w:type="dxa" w:w="2492"/>
          </w:tcPr>
          <w:p>
            <w:pPr>
              <w:pStyle w:val="null3"/>
            </w:pPr>
            <w:r>
              <w:rPr>
                <w:rFonts w:ascii="仿宋_GB2312" w:hAnsi="仿宋_GB2312" w:cs="仿宋_GB2312" w:eastAsia="仿宋_GB2312"/>
              </w:rPr>
              <w:t>一、评审内容：方案涵盖系统巡检、性能监测、数据运维与备份、故障诊断、故障处理等全流程。 二、评审标准： 1.完整性：内容需全面，对评审内容的各项指标有详细描述； 2.针对性：紧扣项目运维内容，针对性提出运维方法； 3.可实施性：契合本项目实际情况，可实施性强。 三、赋分标准： 1.方案涵盖系统巡检：满分3分。每完全满足一个评审标准得1分；针对每条评审标准，如存在不合理的方面得0.5分，针对每条评审标准，内容与本项目无关或未提供得0分。 2.性能监测：满分3分。每完全满足一个评审标准得1分；针对每条评审标准，如存在不合理的方面得0.5分，针对每条评审标准，内容与本项目无关或未提供得0分。 3.数据运维与备份：满分3分。每完全满足一个评审标准得1分；针对每条评审标准，如存在不合理的方面得0.5分，针对每条评审标准，内容与本项目无关或未提供得0分。 4.故障诊断：满分3分。每完全满足一个评审标准得1分；针对每条评审标准，如存在不合理的方面得0.5分，针对每条评审标准，内容与本项目无关或未提供得0分。 5.故障处理：满分3分。每完全满足一个评审标准得1分；针对每条评审标准，如存在不合理的方面得0.5分，针对每条评审标准，内容与本项目无关或未提供得0分。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应急响应机制</w:t>
            </w:r>
          </w:p>
        </w:tc>
        <w:tc>
          <w:tcPr>
            <w:tcW w:type="dxa" w:w="2492"/>
          </w:tcPr>
          <w:p>
            <w:pPr>
              <w:pStyle w:val="null3"/>
            </w:pPr>
            <w:r>
              <w:rPr>
                <w:rFonts w:ascii="仿宋_GB2312" w:hAnsi="仿宋_GB2312" w:cs="仿宋_GB2312" w:eastAsia="仿宋_GB2312"/>
              </w:rPr>
              <w:t>应提供明确响应保障措施,其中: 1.应急响应时间≤1小时，故障解决时间≤2小时：得6分； 2.1小时&lt;应急响应时间≤2小时，2&lt;故障解决时间≤4小时：得4分； 3.2小时&lt;应急响应时间≤3小时，4&lt;故障解决时间≤6小时：得2 分； 未提供明确响应措施此项不得分。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数据处理</w:t>
            </w:r>
          </w:p>
        </w:tc>
        <w:tc>
          <w:tcPr>
            <w:tcW w:type="dxa" w:w="2492"/>
          </w:tcPr>
          <w:p>
            <w:pPr>
              <w:pStyle w:val="null3"/>
            </w:pPr>
            <w:r>
              <w:rPr>
                <w:rFonts w:ascii="仿宋_GB2312" w:hAnsi="仿宋_GB2312" w:cs="仿宋_GB2312" w:eastAsia="仿宋_GB2312"/>
              </w:rPr>
              <w:t>一、评审内容：提供实时数据处理服务方案，含数据汇总、统计、分析、整理，并按要求出具各类报表，满足日常管理、决策分析及汇报需求；协助检测等业务数据入库，确保数据准确整合、规范存储。 二、评审标准： 1.完整性：内容需全面，对评审内容的各项指标有详细描述； 2.针对性：紧扣项目数据处理内容，针对性提出处理方法； 3.可实施性：契合本项目实际情况，可实施性强。 三、赋分标准 ： 1.实时数据处理服务方案：满分6分。每完全满足一个评审标准得2分；针对每条评审标准，如存在不合理的方面得1分，针对每条评审标准，内容与本项目无关或未提供得0分。 2.协助检测等业务数据入库：满分6分。每完全满足一个评审标准得2分；针对每条评审标准，如存在不合理的方面得1分，针对每条评审标准，内容与本项目无关或未提供得0分。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技术适配与优化</w:t>
            </w:r>
          </w:p>
        </w:tc>
        <w:tc>
          <w:tcPr>
            <w:tcW w:type="dxa" w:w="2492"/>
          </w:tcPr>
          <w:p>
            <w:pPr>
              <w:pStyle w:val="null3"/>
            </w:pPr>
            <w:r>
              <w:rPr>
                <w:rFonts w:ascii="仿宋_GB2312" w:hAnsi="仿宋_GB2312" w:cs="仿宋_GB2312" w:eastAsia="仿宋_GB2312"/>
              </w:rPr>
              <w:t>一、评审内容：提供系统与公路养护统计数据交换对接，国家公路网桥梁、隧道基础数据库的数据对接等的适配方案；制定省长大桥梁（隧道）结构监测省级平台对接方案，含接口兼容、数据同步技术细节。 二、评审标准： 1.完整性：内容需全面，对评审内容的各项指标有详细描述； 2.针对性：紧扣技术适配内容，针对性提出处理方法； 3.可实施性：契合本项目实际情况，可实施性强。 （三）赋分标准： 1.提供系统与公路养护统计数据交换对接，国家公路网桥梁、隧道基础数据库的数据对接等的适配方案：满分6分。每完全满足一个评审标准得2分；针对每条评审标准，如存在不合理的方面得1分，针对每条评审标准，内容与本项目无关或未提供得0分。 2.制定省长大桥梁（隧道）结构监测省级平台对接方案：满分6分。每完全满足一个评审标准得2分；针对每条评审标准，如存在不合理的方面得1分，针对每条评审标准，内容与本项目无关或未提供得0分。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绿色运维措施</w:t>
            </w:r>
          </w:p>
        </w:tc>
        <w:tc>
          <w:tcPr>
            <w:tcW w:type="dxa" w:w="2492"/>
          </w:tcPr>
          <w:p>
            <w:pPr>
              <w:pStyle w:val="null3"/>
            </w:pPr>
            <w:r>
              <w:rPr>
                <w:rFonts w:ascii="仿宋_GB2312" w:hAnsi="仿宋_GB2312" w:cs="仿宋_GB2312" w:eastAsia="仿宋_GB2312"/>
              </w:rPr>
              <w:t>一、评审内容：有基本绿色运维措施，落实资源节约、节能低碳要求的措施。 二、评审标准： 1.针对性：紧扣项目绿色运维措施内容，针对性提出处理方法； 2.可实施性：契合本项目实际情况，可实施性强。 三、赋分标准： 1.有基本绿色运维措施，落实资源节约、节能低碳要求的措施：满分2分。每完全满足一个评审标准得1分；针对每条评审标准，如存在不合理的方面得0.5分，针对每条评审标准，内容与本项目无关或未提供得0分。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服务保障体系</w:t>
            </w:r>
          </w:p>
        </w:tc>
        <w:tc>
          <w:tcPr>
            <w:tcW w:type="dxa" w:w="2492"/>
          </w:tcPr>
          <w:p>
            <w:pPr>
              <w:pStyle w:val="null3"/>
            </w:pPr>
            <w:r>
              <w:rPr>
                <w:rFonts w:ascii="仿宋_GB2312" w:hAnsi="仿宋_GB2312" w:cs="仿宋_GB2312" w:eastAsia="仿宋_GB2312"/>
              </w:rPr>
              <w:t>一、评审内容：建立健全的服务质量管理制度、安全保密制度，考核评估机制。 二、评审标准 ： 1.针对性：紧扣服务保障体系内容，针对性提出制度； 2.可实施性：契合本项目实际情况，可实施性强。 三、赋分标准： 1.服务质量管理制度：满分1分。每完全满足一个评审标准得0.5分；针对每条评审标准，如存在不合理的方面得0.25分，针对每条评审标准，内容与本项目无关或未提供得0分。 2.安全保密制度：满分1分。每完全满足一个评审标准得0.5分；针对每条评审标准，如存在不合理的方面得0.25分，针对每条评审标准，内容与本项目无关或未提供得0分。 3.考核评估机制：满分1分。每完全满足一个评审标准得0.5分；针对每条评审标准，如存在不合理的方面得0.25分，针对每条评审标准，内容与本项目无关或未提供得0分。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1.供应商承诺能提供7×24小时运维服务，并在接到采购人故障报修通知后，24-48小时内派遣专业技术人员抵达项目现场进行处置的，得2分；未提供承诺函或承诺时间不满足要求的不得分。 2.供应商提供在项目所在地平均每月不少于10个工作日驻场服务的承诺函，得2分；提供平均不少于7个工作日驻场服务的承诺函，得1分，未提供驻场服务承诺函或承诺时间不满足要求的不得分。 （承诺函格式自拟）</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价格权值（15%）×100（四舍五入后保留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特殊资格审查证明文件.docx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详见附件：人员清单.docx</w:t>
      </w:r>
    </w:p>
    <w:p>
      <w:pPr>
        <w:pStyle w:val="null3"/>
        <w:ind w:firstLine="960"/>
      </w:pPr>
      <w:r>
        <w:rPr>
          <w:rFonts w:ascii="仿宋_GB2312" w:hAnsi="仿宋_GB2312" w:cs="仿宋_GB2312" w:eastAsia="仿宋_GB2312"/>
        </w:rPr>
        <w:t>详见附件：设备清单.docx</w:t>
      </w:r>
    </w:p>
    <w:p>
      <w:pPr>
        <w:pStyle w:val="null3"/>
        <w:ind w:firstLine="960"/>
      </w:pPr>
      <w:r>
        <w:rPr>
          <w:rFonts w:ascii="仿宋_GB2312" w:hAnsi="仿宋_GB2312" w:cs="仿宋_GB2312" w:eastAsia="仿宋_GB2312"/>
        </w:rPr>
        <w:t>详见附件：特殊资格审查证明文件.docx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详见附件：一般资格审查证明文件.docx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详见附件：上传合同.docx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