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FB4F3">
      <w:pPr>
        <w:pStyle w:val="4"/>
        <w:outlineLvl w:val="2"/>
      </w:pPr>
      <w:r>
        <w:rPr>
          <w:rFonts w:ascii="仿宋_GB2312" w:hAnsi="仿宋_GB2312" w:eastAsia="仿宋_GB2312" w:cs="仿宋_GB2312"/>
          <w:b/>
          <w:sz w:val="28"/>
        </w:rPr>
        <w:t>1</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采购项目概况</w:t>
      </w:r>
    </w:p>
    <w:p w14:paraId="145CE2BA">
      <w:pPr>
        <w:pStyle w:val="4"/>
        <w:ind w:firstLine="480"/>
      </w:pPr>
      <w:r>
        <w:rPr>
          <w:rFonts w:ascii="仿宋_GB2312" w:hAnsi="仿宋_GB2312" w:eastAsia="仿宋_GB2312" w:cs="仿宋_GB2312"/>
        </w:rPr>
        <w:t>西安石油大学目前仅有单点的成分分析仪，由于岩心储层样品的非均质性，单点信息，或多点信息求平均值的研究方法已无法满足现有的科研需求。目前国内外的研究已走向分布成像的二维研究的新方向，单点测试或多点平均值的测试方法对目前科研工作支撑作用受限，需要对现有单点设备进行更新换代为更为先进的XRF岩心扫描分析仪以满足我校相关科研需求。</w:t>
      </w:r>
    </w:p>
    <w:p w14:paraId="2EB4A91D">
      <w:pPr>
        <w:pStyle w:val="4"/>
        <w:outlineLvl w:val="2"/>
      </w:pPr>
      <w:r>
        <w:rPr>
          <w:rFonts w:ascii="仿宋_GB2312" w:hAnsi="仿宋_GB2312" w:eastAsia="仿宋_GB2312" w:cs="仿宋_GB2312"/>
          <w:b/>
          <w:sz w:val="28"/>
        </w:rPr>
        <w:t>2</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采购内容</w:t>
      </w:r>
    </w:p>
    <w:p w14:paraId="1397F850">
      <w:pPr>
        <w:pStyle w:val="4"/>
      </w:pPr>
      <w:r>
        <w:rPr>
          <w:rFonts w:ascii="仿宋_GB2312" w:hAnsi="仿宋_GB2312" w:eastAsia="仿宋_GB2312" w:cs="仿宋_GB2312"/>
        </w:rPr>
        <w:t>采购包1：</w:t>
      </w:r>
    </w:p>
    <w:p w14:paraId="6ECC116F">
      <w:pPr>
        <w:pStyle w:val="4"/>
      </w:pPr>
      <w:r>
        <w:rPr>
          <w:rFonts w:ascii="仿宋_GB2312" w:hAnsi="仿宋_GB2312" w:eastAsia="仿宋_GB2312" w:cs="仿宋_GB2312"/>
        </w:rPr>
        <w:t>采购包预算金额（元）: 3,350,000.00</w:t>
      </w:r>
    </w:p>
    <w:p w14:paraId="07E0E1D7">
      <w:pPr>
        <w:pStyle w:val="4"/>
      </w:pPr>
      <w:r>
        <w:rPr>
          <w:rFonts w:ascii="仿宋_GB2312" w:hAnsi="仿宋_GB2312" w:eastAsia="仿宋_GB2312" w:cs="仿宋_GB2312"/>
        </w:rPr>
        <w:t>采购包最高限价（元）: 3,350,000.00</w:t>
      </w:r>
    </w:p>
    <w:p w14:paraId="0E0941DE">
      <w:pPr>
        <w:pStyle w:val="4"/>
      </w:pPr>
      <w:r>
        <w:rPr>
          <w:rFonts w:ascii="仿宋_GB2312" w:hAnsi="仿宋_GB2312" w:eastAsia="仿宋_GB2312" w:cs="仿宋_GB2312"/>
        </w:rPr>
        <w:t>供应商报价不允许超过标的金额</w:t>
      </w:r>
    </w:p>
    <w:p w14:paraId="7F9A3B58">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6"/>
        <w:gridCol w:w="721"/>
        <w:gridCol w:w="735"/>
        <w:gridCol w:w="1416"/>
        <w:gridCol w:w="706"/>
        <w:gridCol w:w="706"/>
        <w:gridCol w:w="706"/>
        <w:gridCol w:w="706"/>
        <w:gridCol w:w="706"/>
        <w:gridCol w:w="707"/>
        <w:gridCol w:w="707"/>
      </w:tblGrid>
      <w:tr w14:paraId="3A086E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C0BA702">
            <w:pPr>
              <w:pStyle w:val="4"/>
            </w:pPr>
            <w:r>
              <w:rPr>
                <w:rFonts w:ascii="仿宋_GB2312" w:hAnsi="仿宋_GB2312" w:eastAsia="仿宋_GB2312" w:cs="仿宋_GB2312"/>
              </w:rPr>
              <w:t>序号</w:t>
            </w:r>
          </w:p>
        </w:tc>
        <w:tc>
          <w:tcPr>
            <w:tcW w:w="755" w:type="dxa"/>
          </w:tcPr>
          <w:p w14:paraId="7EC9A37C">
            <w:pPr>
              <w:pStyle w:val="4"/>
            </w:pPr>
            <w:r>
              <w:rPr>
                <w:rFonts w:ascii="仿宋_GB2312" w:hAnsi="仿宋_GB2312" w:eastAsia="仿宋_GB2312" w:cs="仿宋_GB2312"/>
              </w:rPr>
              <w:t>标的名称</w:t>
            </w:r>
          </w:p>
        </w:tc>
        <w:tc>
          <w:tcPr>
            <w:tcW w:w="755" w:type="dxa"/>
          </w:tcPr>
          <w:p w14:paraId="00E599B1">
            <w:pPr>
              <w:pStyle w:val="4"/>
            </w:pPr>
            <w:r>
              <w:rPr>
                <w:rFonts w:ascii="仿宋_GB2312" w:hAnsi="仿宋_GB2312" w:eastAsia="仿宋_GB2312" w:cs="仿宋_GB2312"/>
              </w:rPr>
              <w:t>数量</w:t>
            </w:r>
          </w:p>
        </w:tc>
        <w:tc>
          <w:tcPr>
            <w:tcW w:w="755" w:type="dxa"/>
          </w:tcPr>
          <w:p w14:paraId="07907819">
            <w:pPr>
              <w:pStyle w:val="4"/>
            </w:pPr>
            <w:r>
              <w:rPr>
                <w:rFonts w:ascii="仿宋_GB2312" w:hAnsi="仿宋_GB2312" w:eastAsia="仿宋_GB2312" w:cs="仿宋_GB2312"/>
              </w:rPr>
              <w:t>标的金额 （元）</w:t>
            </w:r>
          </w:p>
        </w:tc>
        <w:tc>
          <w:tcPr>
            <w:tcW w:w="755" w:type="dxa"/>
          </w:tcPr>
          <w:p w14:paraId="5022B92D">
            <w:pPr>
              <w:pStyle w:val="4"/>
            </w:pPr>
            <w:r>
              <w:rPr>
                <w:rFonts w:ascii="仿宋_GB2312" w:hAnsi="仿宋_GB2312" w:eastAsia="仿宋_GB2312" w:cs="仿宋_GB2312"/>
              </w:rPr>
              <w:t>计量单位</w:t>
            </w:r>
          </w:p>
        </w:tc>
        <w:tc>
          <w:tcPr>
            <w:tcW w:w="755" w:type="dxa"/>
          </w:tcPr>
          <w:p w14:paraId="2C0D4DDE">
            <w:pPr>
              <w:pStyle w:val="4"/>
            </w:pPr>
            <w:r>
              <w:rPr>
                <w:rFonts w:ascii="仿宋_GB2312" w:hAnsi="仿宋_GB2312" w:eastAsia="仿宋_GB2312" w:cs="仿宋_GB2312"/>
              </w:rPr>
              <w:t>所属行业</w:t>
            </w:r>
          </w:p>
        </w:tc>
        <w:tc>
          <w:tcPr>
            <w:tcW w:w="755" w:type="dxa"/>
          </w:tcPr>
          <w:p w14:paraId="54B6F38C">
            <w:pPr>
              <w:pStyle w:val="4"/>
            </w:pPr>
            <w:r>
              <w:rPr>
                <w:rFonts w:ascii="仿宋_GB2312" w:hAnsi="仿宋_GB2312" w:eastAsia="仿宋_GB2312" w:cs="仿宋_GB2312"/>
              </w:rPr>
              <w:t>是否核心产品</w:t>
            </w:r>
          </w:p>
        </w:tc>
        <w:tc>
          <w:tcPr>
            <w:tcW w:w="755" w:type="dxa"/>
          </w:tcPr>
          <w:p w14:paraId="6FCE64CF">
            <w:pPr>
              <w:pStyle w:val="4"/>
            </w:pPr>
            <w:r>
              <w:rPr>
                <w:rFonts w:ascii="仿宋_GB2312" w:hAnsi="仿宋_GB2312" w:eastAsia="仿宋_GB2312" w:cs="仿宋_GB2312"/>
              </w:rPr>
              <w:t>是否允许进口产品</w:t>
            </w:r>
          </w:p>
        </w:tc>
        <w:tc>
          <w:tcPr>
            <w:tcW w:w="755" w:type="dxa"/>
          </w:tcPr>
          <w:p w14:paraId="452917B6">
            <w:pPr>
              <w:pStyle w:val="4"/>
            </w:pPr>
            <w:r>
              <w:rPr>
                <w:rFonts w:ascii="仿宋_GB2312" w:hAnsi="仿宋_GB2312" w:eastAsia="仿宋_GB2312" w:cs="仿宋_GB2312"/>
              </w:rPr>
              <w:t>是否属于节能产品</w:t>
            </w:r>
          </w:p>
        </w:tc>
        <w:tc>
          <w:tcPr>
            <w:tcW w:w="755" w:type="dxa"/>
          </w:tcPr>
          <w:p w14:paraId="31E7AC99">
            <w:pPr>
              <w:pStyle w:val="4"/>
            </w:pPr>
            <w:r>
              <w:rPr>
                <w:rFonts w:ascii="仿宋_GB2312" w:hAnsi="仿宋_GB2312" w:eastAsia="仿宋_GB2312" w:cs="仿宋_GB2312"/>
              </w:rPr>
              <w:t>是否属于环境标志产品</w:t>
            </w:r>
          </w:p>
        </w:tc>
        <w:tc>
          <w:tcPr>
            <w:tcW w:w="755" w:type="dxa"/>
          </w:tcPr>
          <w:p w14:paraId="4693047D">
            <w:pPr>
              <w:pStyle w:val="4"/>
            </w:pPr>
            <w:r>
              <w:rPr>
                <w:rFonts w:ascii="仿宋_GB2312" w:hAnsi="仿宋_GB2312" w:eastAsia="仿宋_GB2312" w:cs="仿宋_GB2312"/>
              </w:rPr>
              <w:t>是否实施本国产品政策</w:t>
            </w:r>
          </w:p>
        </w:tc>
      </w:tr>
      <w:tr w14:paraId="50097F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4319ED5">
            <w:pPr>
              <w:pStyle w:val="4"/>
            </w:pPr>
            <w:r>
              <w:rPr>
                <w:rFonts w:ascii="仿宋_GB2312" w:hAnsi="仿宋_GB2312" w:eastAsia="仿宋_GB2312" w:cs="仿宋_GB2312"/>
              </w:rPr>
              <w:t>1</w:t>
            </w:r>
          </w:p>
        </w:tc>
        <w:tc>
          <w:tcPr>
            <w:tcW w:w="755" w:type="dxa"/>
          </w:tcPr>
          <w:p w14:paraId="5C583765">
            <w:pPr>
              <w:pStyle w:val="4"/>
            </w:pPr>
            <w:r>
              <w:rPr>
                <w:rFonts w:ascii="仿宋_GB2312" w:hAnsi="仿宋_GB2312" w:eastAsia="仿宋_GB2312" w:cs="仿宋_GB2312"/>
              </w:rPr>
              <w:t>XRF岩心扫描分析仪采购项目</w:t>
            </w:r>
          </w:p>
        </w:tc>
        <w:tc>
          <w:tcPr>
            <w:tcW w:w="755" w:type="dxa"/>
          </w:tcPr>
          <w:p w14:paraId="53E7BB4D">
            <w:pPr>
              <w:pStyle w:val="4"/>
              <w:jc w:val="right"/>
            </w:pPr>
            <w:r>
              <w:rPr>
                <w:rFonts w:ascii="仿宋_GB2312" w:hAnsi="仿宋_GB2312" w:eastAsia="仿宋_GB2312" w:cs="仿宋_GB2312"/>
              </w:rPr>
              <w:t>1.00</w:t>
            </w:r>
          </w:p>
        </w:tc>
        <w:tc>
          <w:tcPr>
            <w:tcW w:w="755" w:type="dxa"/>
          </w:tcPr>
          <w:p w14:paraId="5091729F">
            <w:pPr>
              <w:pStyle w:val="4"/>
              <w:jc w:val="right"/>
            </w:pPr>
            <w:r>
              <w:rPr>
                <w:rFonts w:ascii="仿宋_GB2312" w:hAnsi="仿宋_GB2312" w:eastAsia="仿宋_GB2312" w:cs="仿宋_GB2312"/>
              </w:rPr>
              <w:t>3,350,000.00</w:t>
            </w:r>
          </w:p>
        </w:tc>
        <w:tc>
          <w:tcPr>
            <w:tcW w:w="755" w:type="dxa"/>
          </w:tcPr>
          <w:p w14:paraId="484258C5">
            <w:pPr>
              <w:pStyle w:val="4"/>
            </w:pPr>
            <w:r>
              <w:rPr>
                <w:rFonts w:ascii="仿宋_GB2312" w:hAnsi="仿宋_GB2312" w:eastAsia="仿宋_GB2312" w:cs="仿宋_GB2312"/>
              </w:rPr>
              <w:t>套</w:t>
            </w:r>
          </w:p>
        </w:tc>
        <w:tc>
          <w:tcPr>
            <w:tcW w:w="755" w:type="dxa"/>
          </w:tcPr>
          <w:p w14:paraId="21081398">
            <w:pPr>
              <w:pStyle w:val="4"/>
            </w:pPr>
            <w:r>
              <w:rPr>
                <w:rFonts w:ascii="仿宋_GB2312" w:hAnsi="仿宋_GB2312" w:eastAsia="仿宋_GB2312" w:cs="仿宋_GB2312"/>
              </w:rPr>
              <w:t>工业</w:t>
            </w:r>
          </w:p>
        </w:tc>
        <w:tc>
          <w:tcPr>
            <w:tcW w:w="755" w:type="dxa"/>
          </w:tcPr>
          <w:p w14:paraId="21D29593">
            <w:pPr>
              <w:pStyle w:val="4"/>
            </w:pPr>
            <w:r>
              <w:rPr>
                <w:rFonts w:ascii="仿宋_GB2312" w:hAnsi="仿宋_GB2312" w:eastAsia="仿宋_GB2312" w:cs="仿宋_GB2312"/>
              </w:rPr>
              <w:t>否</w:t>
            </w:r>
          </w:p>
        </w:tc>
        <w:tc>
          <w:tcPr>
            <w:tcW w:w="755" w:type="dxa"/>
          </w:tcPr>
          <w:p w14:paraId="1475F6D9">
            <w:pPr>
              <w:pStyle w:val="4"/>
            </w:pPr>
            <w:r>
              <w:rPr>
                <w:rFonts w:ascii="仿宋_GB2312" w:hAnsi="仿宋_GB2312" w:eastAsia="仿宋_GB2312" w:cs="仿宋_GB2312"/>
              </w:rPr>
              <w:t>是</w:t>
            </w:r>
          </w:p>
        </w:tc>
        <w:tc>
          <w:tcPr>
            <w:tcW w:w="755" w:type="dxa"/>
          </w:tcPr>
          <w:p w14:paraId="4D4AEF43">
            <w:pPr>
              <w:pStyle w:val="4"/>
            </w:pPr>
            <w:r>
              <w:rPr>
                <w:rFonts w:ascii="仿宋_GB2312" w:hAnsi="仿宋_GB2312" w:eastAsia="仿宋_GB2312" w:cs="仿宋_GB2312"/>
              </w:rPr>
              <w:t>否</w:t>
            </w:r>
          </w:p>
        </w:tc>
        <w:tc>
          <w:tcPr>
            <w:tcW w:w="755" w:type="dxa"/>
          </w:tcPr>
          <w:p w14:paraId="21B815B9">
            <w:pPr>
              <w:pStyle w:val="4"/>
            </w:pPr>
            <w:r>
              <w:rPr>
                <w:rFonts w:ascii="仿宋_GB2312" w:hAnsi="仿宋_GB2312" w:eastAsia="仿宋_GB2312" w:cs="仿宋_GB2312"/>
              </w:rPr>
              <w:t>否</w:t>
            </w:r>
          </w:p>
        </w:tc>
        <w:tc>
          <w:tcPr>
            <w:tcW w:w="755" w:type="dxa"/>
          </w:tcPr>
          <w:p w14:paraId="70F81B37">
            <w:pPr>
              <w:pStyle w:val="4"/>
            </w:pPr>
            <w:r>
              <w:rPr>
                <w:rFonts w:ascii="仿宋_GB2312" w:hAnsi="仿宋_GB2312" w:eastAsia="仿宋_GB2312" w:cs="仿宋_GB2312"/>
              </w:rPr>
              <w:t>是</w:t>
            </w:r>
          </w:p>
        </w:tc>
      </w:tr>
    </w:tbl>
    <w:p w14:paraId="44A29270">
      <w:pPr>
        <w:pStyle w:val="4"/>
        <w:outlineLvl w:val="2"/>
      </w:pPr>
      <w:r>
        <w:rPr>
          <w:rFonts w:ascii="仿宋_GB2312" w:hAnsi="仿宋_GB2312" w:eastAsia="仿宋_GB2312" w:cs="仿宋_GB2312"/>
          <w:b/>
          <w:sz w:val="28"/>
        </w:rPr>
        <w:t>3</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技术要求</w:t>
      </w:r>
    </w:p>
    <w:p w14:paraId="50243C96">
      <w:pPr>
        <w:pStyle w:val="4"/>
      </w:pPr>
      <w:r>
        <w:rPr>
          <w:rFonts w:ascii="仿宋_GB2312" w:hAnsi="仿宋_GB2312" w:eastAsia="仿宋_GB2312" w:cs="仿宋_GB2312"/>
        </w:rPr>
        <w:t>采购包1：</w:t>
      </w:r>
    </w:p>
    <w:p w14:paraId="02696162">
      <w:pPr>
        <w:pStyle w:val="4"/>
      </w:pPr>
      <w:r>
        <w:rPr>
          <w:rFonts w:ascii="仿宋_GB2312" w:hAnsi="仿宋_GB2312" w:eastAsia="仿宋_GB2312" w:cs="仿宋_GB2312"/>
        </w:rPr>
        <w:t>标的名称：XRF岩心扫描分析仪采购项目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26AE5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08B3610">
            <w:pPr>
              <w:pStyle w:val="4"/>
            </w:pPr>
            <w:r>
              <w:rPr>
                <w:rFonts w:ascii="仿宋_GB2312" w:hAnsi="仿宋_GB2312" w:eastAsia="仿宋_GB2312" w:cs="仿宋_GB2312"/>
              </w:rPr>
              <w:t xml:space="preserve"> 序号</w:t>
            </w:r>
          </w:p>
        </w:tc>
        <w:tc>
          <w:tcPr>
            <w:tcW w:w="2769" w:type="dxa"/>
          </w:tcPr>
          <w:p w14:paraId="2016135E">
            <w:pPr>
              <w:pStyle w:val="4"/>
            </w:pPr>
            <w:r>
              <w:rPr>
                <w:rFonts w:ascii="仿宋_GB2312" w:hAnsi="仿宋_GB2312" w:eastAsia="仿宋_GB2312" w:cs="仿宋_GB2312"/>
              </w:rPr>
              <w:t xml:space="preserve"> 参数性质</w:t>
            </w:r>
          </w:p>
        </w:tc>
        <w:tc>
          <w:tcPr>
            <w:tcW w:w="2769" w:type="dxa"/>
          </w:tcPr>
          <w:p w14:paraId="73B02801">
            <w:pPr>
              <w:pStyle w:val="4"/>
            </w:pPr>
            <w:r>
              <w:rPr>
                <w:rFonts w:ascii="仿宋_GB2312" w:hAnsi="仿宋_GB2312" w:eastAsia="仿宋_GB2312" w:cs="仿宋_GB2312"/>
              </w:rPr>
              <w:t xml:space="preserve"> 技术参数与性能指标</w:t>
            </w:r>
          </w:p>
        </w:tc>
      </w:tr>
      <w:tr w14:paraId="09C773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21629BC">
            <w:pPr>
              <w:pStyle w:val="4"/>
            </w:pPr>
            <w:r>
              <w:rPr>
                <w:rFonts w:ascii="仿宋_GB2312" w:hAnsi="仿宋_GB2312" w:eastAsia="仿宋_GB2312" w:cs="仿宋_GB2312"/>
              </w:rPr>
              <w:t>1</w:t>
            </w:r>
          </w:p>
        </w:tc>
        <w:tc>
          <w:tcPr>
            <w:tcW w:w="2769" w:type="dxa"/>
          </w:tcPr>
          <w:p w14:paraId="6D0E2CC8">
            <w:pPr>
              <w:pStyle w:val="4"/>
            </w:pPr>
            <w:r>
              <w:rPr>
                <w:rFonts w:ascii="仿宋_GB2312" w:hAnsi="仿宋_GB2312" w:eastAsia="仿宋_GB2312" w:cs="仿宋_GB2312"/>
              </w:rPr>
              <w:t>★</w:t>
            </w:r>
          </w:p>
        </w:tc>
        <w:tc>
          <w:tcPr>
            <w:tcW w:w="2769" w:type="dxa"/>
          </w:tcPr>
          <w:p w14:paraId="7E1FC450">
            <w:pPr>
              <w:pStyle w:val="4"/>
            </w:pPr>
            <w:r>
              <w:rPr>
                <w:rFonts w:ascii="仿宋_GB2312" w:hAnsi="仿宋_GB2312" w:eastAsia="仿宋_GB2312" w:cs="仿宋_GB2312"/>
                <w:sz w:val="21"/>
              </w:rPr>
              <w:t>高分辨元素分布面扫描成像分辨率≥3000万像素点，一次性最大成像面积≥180×150mm</w:t>
            </w:r>
          </w:p>
        </w:tc>
      </w:tr>
      <w:tr w14:paraId="3A3B14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DE84F57">
            <w:pPr>
              <w:pStyle w:val="4"/>
            </w:pPr>
            <w:r>
              <w:rPr>
                <w:rFonts w:ascii="仿宋_GB2312" w:hAnsi="仿宋_GB2312" w:eastAsia="仿宋_GB2312" w:cs="仿宋_GB2312"/>
              </w:rPr>
              <w:t>2</w:t>
            </w:r>
          </w:p>
        </w:tc>
        <w:tc>
          <w:tcPr>
            <w:tcW w:w="2769" w:type="dxa"/>
          </w:tcPr>
          <w:p w14:paraId="1C69BAE7">
            <w:pPr>
              <w:pStyle w:val="4"/>
            </w:pPr>
            <w:r>
              <w:rPr>
                <w:rFonts w:ascii="仿宋_GB2312" w:hAnsi="仿宋_GB2312" w:eastAsia="仿宋_GB2312" w:cs="仿宋_GB2312"/>
              </w:rPr>
              <w:t>★</w:t>
            </w:r>
          </w:p>
        </w:tc>
        <w:tc>
          <w:tcPr>
            <w:tcW w:w="2769" w:type="dxa"/>
          </w:tcPr>
          <w:p w14:paraId="35D85F49">
            <w:pPr>
              <w:pStyle w:val="4"/>
            </w:pPr>
            <w:r>
              <w:rPr>
                <w:rFonts w:ascii="仿宋_GB2312" w:hAnsi="仿宋_GB2312" w:eastAsia="仿宋_GB2312" w:cs="仿宋_GB2312"/>
                <w:sz w:val="21"/>
              </w:rPr>
              <w:t>标配2个硅漂移探测器（SDD），单个探测器可探测面积≥30mm</w:t>
            </w:r>
            <w:r>
              <w:rPr>
                <w:rFonts w:ascii="仿宋_GB2312" w:hAnsi="仿宋_GB2312" w:eastAsia="仿宋_GB2312" w:cs="仿宋_GB2312"/>
                <w:sz w:val="21"/>
                <w:vertAlign w:val="superscript"/>
              </w:rPr>
              <w:t>2</w:t>
            </w:r>
            <w:r>
              <w:rPr>
                <w:rFonts w:ascii="仿宋_GB2312" w:hAnsi="仿宋_GB2312" w:eastAsia="仿宋_GB2312" w:cs="仿宋_GB2312"/>
                <w:sz w:val="21"/>
              </w:rPr>
              <w:t>，单点积分时间≤1ms，能量分辨率&lt;145eV@600 K cps</w:t>
            </w:r>
          </w:p>
        </w:tc>
      </w:tr>
      <w:tr w14:paraId="750207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17911E">
            <w:pPr>
              <w:pStyle w:val="4"/>
            </w:pPr>
            <w:r>
              <w:rPr>
                <w:rFonts w:ascii="仿宋_GB2312" w:hAnsi="仿宋_GB2312" w:eastAsia="仿宋_GB2312" w:cs="仿宋_GB2312"/>
              </w:rPr>
              <w:t>3</w:t>
            </w:r>
          </w:p>
        </w:tc>
        <w:tc>
          <w:tcPr>
            <w:tcW w:w="2769" w:type="dxa"/>
          </w:tcPr>
          <w:p w14:paraId="2A1A4A94">
            <w:pPr>
              <w:pStyle w:val="4"/>
            </w:pPr>
            <w:r>
              <w:rPr>
                <w:rFonts w:ascii="仿宋_GB2312" w:hAnsi="仿宋_GB2312" w:eastAsia="仿宋_GB2312" w:cs="仿宋_GB2312"/>
              </w:rPr>
              <w:t>▲</w:t>
            </w:r>
          </w:p>
        </w:tc>
        <w:tc>
          <w:tcPr>
            <w:tcW w:w="2769" w:type="dxa"/>
          </w:tcPr>
          <w:p w14:paraId="3EFFB3DB">
            <w:pPr>
              <w:pStyle w:val="4"/>
            </w:pPr>
            <w:r>
              <w:rPr>
                <w:rFonts w:ascii="仿宋_GB2312" w:hAnsi="仿宋_GB2312" w:eastAsia="仿宋_GB2312" w:cs="仿宋_GB2312"/>
                <w:sz w:val="21"/>
              </w:rPr>
              <w:t>配备X射线光管（Rh或Mo靶），电压≥50kV，电流≥500μA，小光斑尺寸≤20μm，100μm≤大光斑尺寸≤500μm，工作距离≥10mm</w:t>
            </w:r>
          </w:p>
        </w:tc>
      </w:tr>
      <w:tr w14:paraId="21093D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E676FF4">
            <w:pPr>
              <w:pStyle w:val="4"/>
            </w:pPr>
            <w:r>
              <w:rPr>
                <w:rFonts w:ascii="仿宋_GB2312" w:hAnsi="仿宋_GB2312" w:eastAsia="仿宋_GB2312" w:cs="仿宋_GB2312"/>
              </w:rPr>
              <w:t>4</w:t>
            </w:r>
          </w:p>
        </w:tc>
        <w:tc>
          <w:tcPr>
            <w:tcW w:w="2769" w:type="dxa"/>
          </w:tcPr>
          <w:p w14:paraId="38E16827">
            <w:pPr>
              <w:pStyle w:val="4"/>
            </w:pPr>
            <w:r>
              <w:rPr>
                <w:rFonts w:ascii="仿宋_GB2312" w:hAnsi="仿宋_GB2312" w:eastAsia="仿宋_GB2312" w:cs="仿宋_GB2312"/>
              </w:rPr>
              <w:t>▲</w:t>
            </w:r>
          </w:p>
        </w:tc>
        <w:tc>
          <w:tcPr>
            <w:tcW w:w="2769" w:type="dxa"/>
          </w:tcPr>
          <w:p w14:paraId="2ECA67B2">
            <w:pPr>
              <w:pStyle w:val="4"/>
            </w:pPr>
            <w:r>
              <w:rPr>
                <w:rFonts w:ascii="仿宋_GB2312" w:hAnsi="仿宋_GB2312" w:eastAsia="仿宋_GB2312" w:cs="仿宋_GB2312"/>
                <w:sz w:val="21"/>
              </w:rPr>
              <w:t>配备真空系统，腔体真空度＜5mbar，精度±1mbar</w:t>
            </w:r>
          </w:p>
        </w:tc>
      </w:tr>
      <w:tr w14:paraId="42FEC5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2F3C8E">
            <w:pPr>
              <w:pStyle w:val="4"/>
            </w:pPr>
            <w:r>
              <w:rPr>
                <w:rFonts w:ascii="仿宋_GB2312" w:hAnsi="仿宋_GB2312" w:eastAsia="仿宋_GB2312" w:cs="仿宋_GB2312"/>
              </w:rPr>
              <w:t>5</w:t>
            </w:r>
          </w:p>
        </w:tc>
        <w:tc>
          <w:tcPr>
            <w:tcW w:w="2769" w:type="dxa"/>
          </w:tcPr>
          <w:p w14:paraId="1D157078">
            <w:pPr>
              <w:pStyle w:val="4"/>
            </w:pPr>
            <w:r>
              <w:rPr>
                <w:rFonts w:ascii="仿宋_GB2312" w:hAnsi="仿宋_GB2312" w:eastAsia="仿宋_GB2312" w:cs="仿宋_GB2312"/>
              </w:rPr>
              <w:t>▲</w:t>
            </w:r>
          </w:p>
        </w:tc>
        <w:tc>
          <w:tcPr>
            <w:tcW w:w="2769" w:type="dxa"/>
          </w:tcPr>
          <w:p w14:paraId="1A852B46">
            <w:pPr>
              <w:pStyle w:val="4"/>
            </w:pPr>
            <w:r>
              <w:rPr>
                <w:rFonts w:ascii="仿宋_GB2312" w:hAnsi="仿宋_GB2312" w:eastAsia="仿宋_GB2312" w:cs="仿宋_GB2312"/>
                <w:sz w:val="21"/>
              </w:rPr>
              <w:t>满足元素Na11-U92的无损成分分析</w:t>
            </w:r>
          </w:p>
        </w:tc>
      </w:tr>
      <w:tr w14:paraId="6E85F2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D68F1AC">
            <w:pPr>
              <w:pStyle w:val="4"/>
            </w:pPr>
            <w:r>
              <w:rPr>
                <w:rFonts w:ascii="仿宋_GB2312" w:hAnsi="仿宋_GB2312" w:eastAsia="仿宋_GB2312" w:cs="仿宋_GB2312"/>
              </w:rPr>
              <w:t>6</w:t>
            </w:r>
          </w:p>
        </w:tc>
        <w:tc>
          <w:tcPr>
            <w:tcW w:w="2769" w:type="dxa"/>
          </w:tcPr>
          <w:p w14:paraId="04ADD40C">
            <w:pPr>
              <w:pStyle w:val="4"/>
            </w:pPr>
            <w:r>
              <w:rPr>
                <w:rFonts w:ascii="仿宋_GB2312" w:hAnsi="仿宋_GB2312" w:eastAsia="仿宋_GB2312" w:cs="仿宋_GB2312"/>
              </w:rPr>
              <w:t>▲</w:t>
            </w:r>
          </w:p>
        </w:tc>
        <w:tc>
          <w:tcPr>
            <w:tcW w:w="2769" w:type="dxa"/>
          </w:tcPr>
          <w:p w14:paraId="025C591F">
            <w:pPr>
              <w:pStyle w:val="4"/>
            </w:pPr>
            <w:r>
              <w:rPr>
                <w:rFonts w:ascii="仿宋_GB2312" w:hAnsi="仿宋_GB2312" w:eastAsia="仿宋_GB2312" w:cs="仿宋_GB2312"/>
                <w:sz w:val="21"/>
              </w:rPr>
              <w:t>仓体内部尺寸≥580mm×330mm×200mm</w:t>
            </w:r>
          </w:p>
        </w:tc>
      </w:tr>
      <w:tr w14:paraId="62B846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4B00002">
            <w:pPr>
              <w:pStyle w:val="4"/>
            </w:pPr>
            <w:r>
              <w:rPr>
                <w:rFonts w:ascii="仿宋_GB2312" w:hAnsi="仿宋_GB2312" w:eastAsia="仿宋_GB2312" w:cs="仿宋_GB2312"/>
              </w:rPr>
              <w:t>7</w:t>
            </w:r>
          </w:p>
        </w:tc>
        <w:tc>
          <w:tcPr>
            <w:tcW w:w="2769" w:type="dxa"/>
          </w:tcPr>
          <w:p w14:paraId="7FB46C47">
            <w:pPr>
              <w:pStyle w:val="4"/>
            </w:pPr>
            <w:r>
              <w:rPr>
                <w:rFonts w:ascii="仿宋_GB2312" w:hAnsi="仿宋_GB2312" w:eastAsia="仿宋_GB2312" w:cs="仿宋_GB2312"/>
              </w:rPr>
              <w:t>▲</w:t>
            </w:r>
          </w:p>
        </w:tc>
        <w:tc>
          <w:tcPr>
            <w:tcW w:w="2769" w:type="dxa"/>
          </w:tcPr>
          <w:p w14:paraId="5D8B8FB2">
            <w:pPr>
              <w:pStyle w:val="4"/>
            </w:pPr>
            <w:r>
              <w:rPr>
                <w:rFonts w:ascii="仿宋_GB2312" w:hAnsi="仿宋_GB2312" w:eastAsia="仿宋_GB2312" w:cs="仿宋_GB2312"/>
                <w:sz w:val="21"/>
              </w:rPr>
              <w:t>全自动样品台台面尺寸≥300mm×150mm，X、Y、Z最小移动范围分别为200mm、150mm、100mm，移动速度≥100mm/s，移动精度≤4μm</w:t>
            </w:r>
          </w:p>
        </w:tc>
      </w:tr>
      <w:tr w14:paraId="38372A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C77C19">
            <w:pPr>
              <w:pStyle w:val="4"/>
            </w:pPr>
            <w:r>
              <w:rPr>
                <w:rFonts w:ascii="仿宋_GB2312" w:hAnsi="仿宋_GB2312" w:eastAsia="仿宋_GB2312" w:cs="仿宋_GB2312"/>
              </w:rPr>
              <w:t>8</w:t>
            </w:r>
          </w:p>
        </w:tc>
        <w:tc>
          <w:tcPr>
            <w:tcW w:w="2769" w:type="dxa"/>
          </w:tcPr>
          <w:p w14:paraId="3F97029B">
            <w:pPr>
              <w:pStyle w:val="4"/>
            </w:pPr>
            <w:r>
              <w:rPr>
                <w:rFonts w:ascii="仿宋_GB2312" w:hAnsi="仿宋_GB2312" w:eastAsia="仿宋_GB2312" w:cs="仿宋_GB2312"/>
              </w:rPr>
              <w:t>▲</w:t>
            </w:r>
          </w:p>
        </w:tc>
        <w:tc>
          <w:tcPr>
            <w:tcW w:w="2769" w:type="dxa"/>
          </w:tcPr>
          <w:p w14:paraId="00CDDC62">
            <w:pPr>
              <w:pStyle w:val="4"/>
            </w:pPr>
            <w:r>
              <w:rPr>
                <w:rFonts w:ascii="仿宋_GB2312" w:hAnsi="仿宋_GB2312" w:eastAsia="仿宋_GB2312" w:cs="仿宋_GB2312"/>
                <w:sz w:val="21"/>
              </w:rPr>
              <w:t>该设备配备≥3个CCD相机</w:t>
            </w:r>
          </w:p>
        </w:tc>
      </w:tr>
      <w:tr w14:paraId="08FAD7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6FF803">
            <w:pPr>
              <w:pStyle w:val="4"/>
            </w:pPr>
            <w:r>
              <w:rPr>
                <w:rFonts w:ascii="仿宋_GB2312" w:hAnsi="仿宋_GB2312" w:eastAsia="仿宋_GB2312" w:cs="仿宋_GB2312"/>
              </w:rPr>
              <w:t>9</w:t>
            </w:r>
          </w:p>
        </w:tc>
        <w:tc>
          <w:tcPr>
            <w:tcW w:w="2769" w:type="dxa"/>
          </w:tcPr>
          <w:p w14:paraId="71972867">
            <w:pPr>
              <w:pStyle w:val="4"/>
            </w:pPr>
            <w:r>
              <w:rPr>
                <w:rFonts w:ascii="仿宋_GB2312" w:hAnsi="仿宋_GB2312" w:eastAsia="仿宋_GB2312" w:cs="仿宋_GB2312"/>
              </w:rPr>
              <w:t>▲</w:t>
            </w:r>
          </w:p>
        </w:tc>
        <w:tc>
          <w:tcPr>
            <w:tcW w:w="2769" w:type="dxa"/>
          </w:tcPr>
          <w:p w14:paraId="72DE51A1">
            <w:pPr>
              <w:pStyle w:val="4"/>
            </w:pPr>
            <w:r>
              <w:rPr>
                <w:rFonts w:ascii="仿宋_GB2312" w:hAnsi="仿宋_GB2312" w:eastAsia="仿宋_GB2312" w:cs="仿宋_GB2312"/>
                <w:sz w:val="21"/>
              </w:rPr>
              <w:t>支持单点、多点扫描，线扫描及自定义区域扫描与分析</w:t>
            </w:r>
          </w:p>
        </w:tc>
      </w:tr>
      <w:tr w14:paraId="382C51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939ADC2">
            <w:pPr>
              <w:pStyle w:val="4"/>
            </w:pPr>
            <w:r>
              <w:rPr>
                <w:rFonts w:ascii="仿宋_GB2312" w:hAnsi="仿宋_GB2312" w:eastAsia="仿宋_GB2312" w:cs="仿宋_GB2312"/>
              </w:rPr>
              <w:t>10</w:t>
            </w:r>
          </w:p>
        </w:tc>
        <w:tc>
          <w:tcPr>
            <w:tcW w:w="2769" w:type="dxa"/>
          </w:tcPr>
          <w:p w14:paraId="65E6E491">
            <w:pPr>
              <w:pStyle w:val="4"/>
            </w:pPr>
            <w:r>
              <w:rPr>
                <w:rFonts w:ascii="仿宋_GB2312" w:hAnsi="仿宋_GB2312" w:eastAsia="仿宋_GB2312" w:cs="仿宋_GB2312"/>
              </w:rPr>
              <w:t>▲</w:t>
            </w:r>
          </w:p>
        </w:tc>
        <w:tc>
          <w:tcPr>
            <w:tcW w:w="2769" w:type="dxa"/>
          </w:tcPr>
          <w:p w14:paraId="71243B98">
            <w:pPr>
              <w:pStyle w:val="4"/>
            </w:pPr>
            <w:r>
              <w:rPr>
                <w:rFonts w:ascii="仿宋_GB2312" w:hAnsi="仿宋_GB2312" w:eastAsia="仿宋_GB2312" w:cs="仿宋_GB2312"/>
                <w:sz w:val="21"/>
              </w:rPr>
              <w:t>具备增配第二根X摄像光管或第三根探测器的扩展接口</w:t>
            </w:r>
          </w:p>
        </w:tc>
      </w:tr>
      <w:tr w14:paraId="177B0C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D72CE1">
            <w:pPr>
              <w:pStyle w:val="4"/>
            </w:pPr>
            <w:r>
              <w:rPr>
                <w:rFonts w:ascii="仿宋_GB2312" w:hAnsi="仿宋_GB2312" w:eastAsia="仿宋_GB2312" w:cs="仿宋_GB2312"/>
              </w:rPr>
              <w:t>11</w:t>
            </w:r>
          </w:p>
        </w:tc>
        <w:tc>
          <w:tcPr>
            <w:tcW w:w="2769" w:type="dxa"/>
          </w:tcPr>
          <w:p w14:paraId="6AC1BA92"/>
        </w:tc>
        <w:tc>
          <w:tcPr>
            <w:tcW w:w="2769" w:type="dxa"/>
          </w:tcPr>
          <w:p w14:paraId="78682B05">
            <w:pPr>
              <w:pStyle w:val="4"/>
            </w:pPr>
            <w:r>
              <w:rPr>
                <w:rFonts w:ascii="仿宋_GB2312" w:hAnsi="仿宋_GB2312" w:eastAsia="仿宋_GB2312" w:cs="仿宋_GB2312"/>
                <w:sz w:val="21"/>
              </w:rPr>
              <w:t>该设备须封装在能完全隔离辐射的安全箱内，辐射泄漏量&lt;1.0µSv/h</w:t>
            </w:r>
          </w:p>
        </w:tc>
      </w:tr>
      <w:tr w14:paraId="17E52C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0063A4B">
            <w:pPr>
              <w:pStyle w:val="4"/>
            </w:pPr>
            <w:r>
              <w:rPr>
                <w:rFonts w:ascii="仿宋_GB2312" w:hAnsi="仿宋_GB2312" w:eastAsia="仿宋_GB2312" w:cs="仿宋_GB2312"/>
              </w:rPr>
              <w:t>12</w:t>
            </w:r>
          </w:p>
        </w:tc>
        <w:tc>
          <w:tcPr>
            <w:tcW w:w="2769" w:type="dxa"/>
          </w:tcPr>
          <w:p w14:paraId="4925C94C"/>
        </w:tc>
        <w:tc>
          <w:tcPr>
            <w:tcW w:w="2769" w:type="dxa"/>
          </w:tcPr>
          <w:p w14:paraId="0BE4E06D">
            <w:pPr>
              <w:pStyle w:val="4"/>
            </w:pPr>
            <w:r>
              <w:rPr>
                <w:rFonts w:ascii="仿宋_GB2312" w:hAnsi="仿宋_GB2312" w:eastAsia="仿宋_GB2312" w:cs="仿宋_GB2312"/>
                <w:sz w:val="21"/>
              </w:rPr>
              <w:t>具备相态与化学计量分析、可视化谱峰剥离、单色/热度图分布渲染及Excel/txt原始数据导出功能</w:t>
            </w:r>
          </w:p>
        </w:tc>
      </w:tr>
      <w:tr w14:paraId="370650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56B559F">
            <w:pPr>
              <w:pStyle w:val="4"/>
            </w:pPr>
            <w:r>
              <w:rPr>
                <w:rFonts w:ascii="仿宋_GB2312" w:hAnsi="仿宋_GB2312" w:eastAsia="仿宋_GB2312" w:cs="仿宋_GB2312"/>
              </w:rPr>
              <w:t>13</w:t>
            </w:r>
          </w:p>
        </w:tc>
        <w:tc>
          <w:tcPr>
            <w:tcW w:w="2769" w:type="dxa"/>
          </w:tcPr>
          <w:p w14:paraId="2D6CFFFE"/>
        </w:tc>
        <w:tc>
          <w:tcPr>
            <w:tcW w:w="2769" w:type="dxa"/>
          </w:tcPr>
          <w:p w14:paraId="09039BAE">
            <w:pPr>
              <w:pStyle w:val="4"/>
            </w:pPr>
            <w:r>
              <w:rPr>
                <w:rFonts w:ascii="仿宋_GB2312" w:hAnsi="仿宋_GB2312" w:eastAsia="仿宋_GB2312" w:cs="仿宋_GB2312"/>
                <w:sz w:val="21"/>
              </w:rPr>
              <w:t>全自动样品台需采用防元素干扰的特殊非金属材质并作模块化设计，可以快速插拔</w:t>
            </w:r>
          </w:p>
        </w:tc>
      </w:tr>
      <w:tr w14:paraId="1323C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7888408">
            <w:pPr>
              <w:pStyle w:val="4"/>
            </w:pPr>
            <w:r>
              <w:rPr>
                <w:rFonts w:ascii="仿宋_GB2312" w:hAnsi="仿宋_GB2312" w:eastAsia="仿宋_GB2312" w:cs="仿宋_GB2312"/>
              </w:rPr>
              <w:t>14</w:t>
            </w:r>
          </w:p>
        </w:tc>
        <w:tc>
          <w:tcPr>
            <w:tcW w:w="2769" w:type="dxa"/>
          </w:tcPr>
          <w:p w14:paraId="7BE0AE5F"/>
        </w:tc>
        <w:tc>
          <w:tcPr>
            <w:tcW w:w="2769" w:type="dxa"/>
          </w:tcPr>
          <w:p w14:paraId="7E51102F">
            <w:pPr>
              <w:pStyle w:val="4"/>
            </w:pPr>
            <w:r>
              <w:rPr>
                <w:rFonts w:ascii="仿宋_GB2312" w:hAnsi="仿宋_GB2312" w:eastAsia="仿宋_GB2312" w:cs="仿宋_GB2312"/>
                <w:sz w:val="21"/>
              </w:rPr>
              <w:t>系统需具有严格的安全互锁机制、反压缩防撞装置、关键部件实行管理员权限隔离等功能</w:t>
            </w:r>
          </w:p>
        </w:tc>
      </w:tr>
      <w:tr w14:paraId="7B17CC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92580BD">
            <w:pPr>
              <w:pStyle w:val="4"/>
            </w:pPr>
            <w:r>
              <w:rPr>
                <w:rFonts w:ascii="仿宋_GB2312" w:hAnsi="仿宋_GB2312" w:eastAsia="仿宋_GB2312" w:cs="仿宋_GB2312"/>
              </w:rPr>
              <w:t>15</w:t>
            </w:r>
          </w:p>
        </w:tc>
        <w:tc>
          <w:tcPr>
            <w:tcW w:w="2769" w:type="dxa"/>
          </w:tcPr>
          <w:p w14:paraId="50F424BB"/>
        </w:tc>
        <w:tc>
          <w:tcPr>
            <w:tcW w:w="2769" w:type="dxa"/>
          </w:tcPr>
          <w:p w14:paraId="1BF87F5D">
            <w:pPr>
              <w:pStyle w:val="4"/>
            </w:pPr>
            <w:r>
              <w:rPr>
                <w:rFonts w:ascii="仿宋_GB2312" w:hAnsi="仿宋_GB2312" w:eastAsia="仿宋_GB2312" w:cs="仿宋_GB2312"/>
                <w:sz w:val="21"/>
              </w:rPr>
              <w:t>在测试过程中，步长、测试像素数量线性可调</w:t>
            </w:r>
          </w:p>
        </w:tc>
      </w:tr>
      <w:tr w14:paraId="5FAC62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3DAB7E8">
            <w:pPr>
              <w:pStyle w:val="4"/>
            </w:pPr>
            <w:r>
              <w:rPr>
                <w:rFonts w:ascii="仿宋_GB2312" w:hAnsi="仿宋_GB2312" w:eastAsia="仿宋_GB2312" w:cs="仿宋_GB2312"/>
              </w:rPr>
              <w:t>16</w:t>
            </w:r>
          </w:p>
        </w:tc>
        <w:tc>
          <w:tcPr>
            <w:tcW w:w="2769" w:type="dxa"/>
          </w:tcPr>
          <w:p w14:paraId="6E735FA0"/>
        </w:tc>
        <w:tc>
          <w:tcPr>
            <w:tcW w:w="2769" w:type="dxa"/>
          </w:tcPr>
          <w:p w14:paraId="662746B8">
            <w:pPr>
              <w:pStyle w:val="4"/>
            </w:pPr>
            <w:r>
              <w:rPr>
                <w:rFonts w:ascii="仿宋_GB2312" w:hAnsi="仿宋_GB2312" w:eastAsia="仿宋_GB2312" w:cs="仿宋_GB2312"/>
                <w:sz w:val="21"/>
              </w:rPr>
              <w:t>输出数据格式可以匹配且支持升级自动矿物分析软件</w:t>
            </w:r>
          </w:p>
        </w:tc>
      </w:tr>
    </w:tbl>
    <w:p w14:paraId="5F988898">
      <w:pPr>
        <w:pStyle w:val="4"/>
        <w:outlineLvl w:val="2"/>
      </w:pPr>
      <w:r>
        <w:rPr>
          <w:rFonts w:ascii="仿宋_GB2312" w:hAnsi="仿宋_GB2312" w:eastAsia="仿宋_GB2312" w:cs="仿宋_GB2312"/>
          <w:b/>
          <w:sz w:val="28"/>
        </w:rPr>
        <w:t>4</w:t>
      </w:r>
      <w:r>
        <w:rPr>
          <w:rFonts w:hint="eastAsia" w:ascii="仿宋_GB2312" w:hAnsi="仿宋_GB2312" w:eastAsia="仿宋_GB2312" w:cs="仿宋_GB2312"/>
          <w:b/>
          <w:sz w:val="28"/>
          <w:lang w:val="en-US" w:eastAsia="zh-CN"/>
        </w:rPr>
        <w:t xml:space="preserve"> 、</w:t>
      </w:r>
      <w:r>
        <w:rPr>
          <w:rFonts w:ascii="仿宋_GB2312" w:hAnsi="仿宋_GB2312" w:eastAsia="仿宋_GB2312" w:cs="仿宋_GB2312"/>
          <w:b/>
          <w:sz w:val="28"/>
        </w:rPr>
        <w:t>商务要求</w:t>
      </w:r>
    </w:p>
    <w:p w14:paraId="13CC53FB">
      <w:pPr>
        <w:pStyle w:val="4"/>
        <w:outlineLvl w:val="3"/>
      </w:pPr>
      <w:r>
        <w:rPr>
          <w:rFonts w:ascii="仿宋_GB2312" w:hAnsi="仿宋_GB2312" w:eastAsia="仿宋_GB2312" w:cs="仿宋_GB2312"/>
          <w:b/>
          <w:sz w:val="24"/>
        </w:rPr>
        <w:t>4.1交货时间</w:t>
      </w:r>
    </w:p>
    <w:p w14:paraId="4DF0BEF4">
      <w:pPr>
        <w:pStyle w:val="4"/>
      </w:pPr>
      <w:r>
        <w:rPr>
          <w:rFonts w:ascii="仿宋_GB2312" w:hAnsi="仿宋_GB2312" w:eastAsia="仿宋_GB2312" w:cs="仿宋_GB2312"/>
        </w:rPr>
        <w:t>采购包1：</w:t>
      </w:r>
    </w:p>
    <w:p w14:paraId="4DE66046">
      <w:pPr>
        <w:pStyle w:val="4"/>
      </w:pPr>
      <w:r>
        <w:rPr>
          <w:rFonts w:ascii="仿宋_GB2312" w:hAnsi="仿宋_GB2312" w:eastAsia="仿宋_GB2312" w:cs="仿宋_GB2312"/>
        </w:rPr>
        <w:t>交货时间为本合同生效后120天内到货并安装调试交付使用。</w:t>
      </w:r>
    </w:p>
    <w:p w14:paraId="09808F77">
      <w:pPr>
        <w:pStyle w:val="4"/>
        <w:outlineLvl w:val="3"/>
      </w:pPr>
      <w:r>
        <w:rPr>
          <w:rFonts w:ascii="仿宋_GB2312" w:hAnsi="仿宋_GB2312" w:eastAsia="仿宋_GB2312" w:cs="仿宋_GB2312"/>
          <w:b/>
          <w:sz w:val="24"/>
        </w:rPr>
        <w:t>4.2交货地点</w:t>
      </w:r>
    </w:p>
    <w:p w14:paraId="46A9D60B">
      <w:pPr>
        <w:pStyle w:val="4"/>
      </w:pPr>
      <w:r>
        <w:rPr>
          <w:rFonts w:ascii="仿宋_GB2312" w:hAnsi="仿宋_GB2312" w:eastAsia="仿宋_GB2312" w:cs="仿宋_GB2312"/>
        </w:rPr>
        <w:t>采购包1：</w:t>
      </w:r>
    </w:p>
    <w:p w14:paraId="353A7BF0">
      <w:pPr>
        <w:pStyle w:val="4"/>
      </w:pPr>
      <w:r>
        <w:rPr>
          <w:rFonts w:ascii="仿宋_GB2312" w:hAnsi="仿宋_GB2312" w:eastAsia="仿宋_GB2312" w:cs="仿宋_GB2312"/>
        </w:rPr>
        <w:t>陕西省西安市鄠邑区西安石油大学指定地点。</w:t>
      </w:r>
    </w:p>
    <w:p w14:paraId="696F093E">
      <w:pPr>
        <w:pStyle w:val="4"/>
        <w:outlineLvl w:val="3"/>
      </w:pPr>
      <w:r>
        <w:rPr>
          <w:rFonts w:ascii="仿宋_GB2312" w:hAnsi="仿宋_GB2312" w:eastAsia="仿宋_GB2312" w:cs="仿宋_GB2312"/>
          <w:b/>
          <w:sz w:val="24"/>
        </w:rPr>
        <w:t>4.3支付方式</w:t>
      </w:r>
    </w:p>
    <w:p w14:paraId="7621B865">
      <w:pPr>
        <w:pStyle w:val="4"/>
      </w:pPr>
      <w:r>
        <w:rPr>
          <w:rFonts w:ascii="仿宋_GB2312" w:hAnsi="仿宋_GB2312" w:eastAsia="仿宋_GB2312" w:cs="仿宋_GB2312"/>
        </w:rPr>
        <w:t>采购包1：</w:t>
      </w:r>
    </w:p>
    <w:p w14:paraId="224657EE">
      <w:pPr>
        <w:pStyle w:val="4"/>
      </w:pPr>
      <w:r>
        <w:rPr>
          <w:rFonts w:ascii="仿宋_GB2312" w:hAnsi="仿宋_GB2312" w:eastAsia="仿宋_GB2312" w:cs="仿宋_GB2312"/>
        </w:rPr>
        <w:t>一次付清</w:t>
      </w:r>
    </w:p>
    <w:p w14:paraId="116C9720">
      <w:pPr>
        <w:pStyle w:val="4"/>
        <w:outlineLvl w:val="3"/>
      </w:pPr>
      <w:r>
        <w:rPr>
          <w:rFonts w:ascii="仿宋_GB2312" w:hAnsi="仿宋_GB2312" w:eastAsia="仿宋_GB2312" w:cs="仿宋_GB2312"/>
          <w:b/>
          <w:sz w:val="24"/>
        </w:rPr>
        <w:t>4.4支付约定</w:t>
      </w:r>
    </w:p>
    <w:p w14:paraId="756229C0">
      <w:pPr>
        <w:pStyle w:val="4"/>
      </w:pPr>
      <w:r>
        <w:rPr>
          <w:rFonts w:ascii="仿宋_GB2312" w:hAnsi="仿宋_GB2312" w:eastAsia="仿宋_GB2312" w:cs="仿宋_GB2312"/>
        </w:rPr>
        <w:t>采购包1：</w:t>
      </w:r>
    </w:p>
    <w:p w14:paraId="0AF6E022">
      <w:pPr>
        <w:pStyle w:val="4"/>
      </w:pPr>
      <w:bookmarkStart w:id="0" w:name="_GoBack"/>
      <w:bookmarkEnd w:id="0"/>
      <w:r>
        <w:rPr>
          <w:rFonts w:ascii="仿宋_GB2312" w:hAnsi="仿宋_GB2312" w:eastAsia="仿宋_GB2312" w:cs="仿宋_GB2312"/>
        </w:rPr>
        <w:t>1、进度款，国产设备：预付款，“一次性付清”为系统固定推送内容，具体付款方式以下列内容为准：合同签订后，供应商开具预付款等额银行保函，采购人收到银行保函正本后10个工作日内支付预付款，最多支付至295万，剩余款项待验收合格后，并出具增值税专用发票，达到付款条件起10个工作日内，支付合同总金额的100.0%。 进口设备：进度款，合同签订后，由采购人确定的进口代理公司向供应商指定国外设备供应商开出100%信用证，待设备验收合格后凭外贸合同约定的发货单据及采购人签署的验收报告原件解付，达到付款条件起10个工作日内，支付合同总金额的100.0%</w:t>
      </w:r>
    </w:p>
    <w:p w14:paraId="3FA1369B">
      <w:pPr>
        <w:pStyle w:val="4"/>
        <w:outlineLvl w:val="3"/>
      </w:pPr>
      <w:r>
        <w:rPr>
          <w:rFonts w:ascii="仿宋_GB2312" w:hAnsi="仿宋_GB2312" w:eastAsia="仿宋_GB2312" w:cs="仿宋_GB2312"/>
          <w:b/>
          <w:sz w:val="24"/>
        </w:rPr>
        <w:t>4.5验收标准和方法</w:t>
      </w:r>
    </w:p>
    <w:p w14:paraId="4628BA68">
      <w:pPr>
        <w:pStyle w:val="4"/>
      </w:pPr>
      <w:r>
        <w:rPr>
          <w:rFonts w:ascii="仿宋_GB2312" w:hAnsi="仿宋_GB2312" w:eastAsia="仿宋_GB2312" w:cs="仿宋_GB2312"/>
        </w:rPr>
        <w:t>采购包1：</w:t>
      </w:r>
    </w:p>
    <w:p w14:paraId="606E8811">
      <w:pPr>
        <w:pStyle w:val="4"/>
      </w:pPr>
      <w:r>
        <w:rPr>
          <w:rFonts w:ascii="仿宋_GB2312" w:hAnsi="仿宋_GB2312" w:eastAsia="仿宋_GB2312" w:cs="仿宋_GB2312"/>
        </w:rPr>
        <w:t>（1）验收以最终验收为准；（2）货物安装调试运行正常后，采购人按学校相关业务部门规定提交验收申请，采购人根据采购单位技术验收结果，组织有关专家进行货物的最终验收。</w:t>
      </w:r>
    </w:p>
    <w:p w14:paraId="5128476E">
      <w:pPr>
        <w:pStyle w:val="4"/>
        <w:outlineLvl w:val="3"/>
      </w:pPr>
      <w:r>
        <w:rPr>
          <w:rFonts w:ascii="仿宋_GB2312" w:hAnsi="仿宋_GB2312" w:eastAsia="仿宋_GB2312" w:cs="仿宋_GB2312"/>
          <w:b/>
          <w:sz w:val="24"/>
        </w:rPr>
        <w:t>4.6包装方式及运输</w:t>
      </w:r>
    </w:p>
    <w:p w14:paraId="1850E352">
      <w:pPr>
        <w:pStyle w:val="4"/>
      </w:pPr>
      <w:r>
        <w:rPr>
          <w:rFonts w:ascii="仿宋_GB2312" w:hAnsi="仿宋_GB2312" w:eastAsia="仿宋_GB2312" w:cs="仿宋_GB2312"/>
        </w:rPr>
        <w:t>采购包1：</w:t>
      </w:r>
    </w:p>
    <w:p w14:paraId="7D1B01CC">
      <w:pPr>
        <w:pStyle w:val="4"/>
      </w:pPr>
      <w:r>
        <w:rPr>
          <w:rFonts w:ascii="仿宋_GB2312" w:hAnsi="仿宋_GB2312" w:eastAsia="仿宋_GB2312" w:cs="仿宋_GB2312"/>
        </w:rPr>
        <w:t>货物的运输方式由中标人自行选择，但包装必须符合国家标准或行业标准，满足航空、铁路或公路运输以及货物装卸要求，保证采购人收到的是无任何损伤的货物。否则，因此造成的损失由中标人自行承担。涉及的商品包装和快递包装，均应符合《商品包装政府采购需求标准（试行）》《快递包装政府采购需求标准（试行）》的要求，包装应适应于远距离运输、防潮、防震、防锈和防野蛮装卸，以确保货物安全无损运抵指定地点。</w:t>
      </w:r>
    </w:p>
    <w:p w14:paraId="04C98EC8">
      <w:pPr>
        <w:pStyle w:val="4"/>
        <w:outlineLvl w:val="3"/>
      </w:pPr>
      <w:r>
        <w:rPr>
          <w:rFonts w:ascii="仿宋_GB2312" w:hAnsi="仿宋_GB2312" w:eastAsia="仿宋_GB2312" w:cs="仿宋_GB2312"/>
          <w:b/>
          <w:sz w:val="24"/>
        </w:rPr>
        <w:t>4.7质量保修范围和保修期</w:t>
      </w:r>
    </w:p>
    <w:p w14:paraId="17BC66C5">
      <w:pPr>
        <w:pStyle w:val="4"/>
      </w:pPr>
      <w:r>
        <w:rPr>
          <w:rFonts w:ascii="仿宋_GB2312" w:hAnsi="仿宋_GB2312" w:eastAsia="仿宋_GB2312" w:cs="仿宋_GB2312"/>
        </w:rPr>
        <w:t>采购包1：</w:t>
      </w:r>
    </w:p>
    <w:p w14:paraId="6D187262">
      <w:pPr>
        <w:pStyle w:val="4"/>
      </w:pPr>
      <w:r>
        <w:rPr>
          <w:rFonts w:ascii="仿宋_GB2312" w:hAnsi="仿宋_GB2312" w:eastAsia="仿宋_GB2312" w:cs="仿宋_GB2312"/>
        </w:rPr>
        <w:t>质保期：自采购人验收合格之日起1年。 保修期：中标人提供1年的免费保修，保修期自仪器验收签字之日起计算。保修期间维修、零件更换费用以及由此所产生的其它一切费用均由中标人承担。</w:t>
      </w:r>
    </w:p>
    <w:p w14:paraId="0A4F6273">
      <w:pPr>
        <w:pStyle w:val="4"/>
        <w:outlineLvl w:val="3"/>
      </w:pPr>
      <w:r>
        <w:rPr>
          <w:rFonts w:ascii="仿宋_GB2312" w:hAnsi="仿宋_GB2312" w:eastAsia="仿宋_GB2312" w:cs="仿宋_GB2312"/>
          <w:b/>
          <w:sz w:val="24"/>
        </w:rPr>
        <w:t>4.8违约责任与解决争议的方法</w:t>
      </w:r>
    </w:p>
    <w:p w14:paraId="2A428944">
      <w:pPr>
        <w:pStyle w:val="4"/>
      </w:pPr>
      <w:r>
        <w:rPr>
          <w:rFonts w:ascii="仿宋_GB2312" w:hAnsi="仿宋_GB2312" w:eastAsia="仿宋_GB2312" w:cs="仿宋_GB2312"/>
        </w:rPr>
        <w:t>采购包1：</w:t>
      </w:r>
    </w:p>
    <w:p w14:paraId="0E848DA1">
      <w:pPr>
        <w:pStyle w:val="4"/>
      </w:pPr>
      <w:r>
        <w:rPr>
          <w:rFonts w:ascii="仿宋_GB2312" w:hAnsi="仿宋_GB2312" w:eastAsia="仿宋_GB2312" w:cs="仿宋_GB2312"/>
        </w:rPr>
        <w:t>违约责任：中标供应商所交付货物不符合其投标承诺，存在偷工减料、以次充好情形的，采购人要求更换一次后仍不符合约定的，采购人有权解除采购合同，没收履约保证金，中标供应商退还预付款，并将有关情况上报政府采购监管部门处理。 解决争议的方法：双方友好协商解决，协商未果由西安市仲裁委员会仲裁。 其他内容详见合同文本。</w:t>
      </w:r>
    </w:p>
    <w:p w14:paraId="3505FADC">
      <w:pPr>
        <w:pStyle w:val="4"/>
        <w:jc w:val="left"/>
        <w:outlineLvl w:val="2"/>
      </w:pPr>
      <w:r>
        <w:rPr>
          <w:rFonts w:ascii="仿宋_GB2312" w:hAnsi="仿宋_GB2312" w:eastAsia="仿宋_GB2312" w:cs="仿宋_GB2312"/>
          <w:b/>
          <w:sz w:val="28"/>
        </w:rPr>
        <w:t>5</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其他要求</w:t>
      </w:r>
    </w:p>
    <w:p w14:paraId="44194A22">
      <w:pPr>
        <w:pStyle w:val="4"/>
      </w:pPr>
      <w:r>
        <w:rPr>
          <w:rFonts w:ascii="仿宋_GB2312" w:hAnsi="仿宋_GB2312" w:eastAsia="仿宋_GB2312" w:cs="仿宋_GB2312"/>
        </w:rPr>
        <w:t>1、报价要求： （1）投标报价是指货物到达使用地点、验收合格达到正常使用条件前的所有费用，包括但不限于以下费用：货物价值、安装调试费、国内外运杂费（含保险）、仓储保管费、技术培训费、检测费、施工费、人工费、进口业务相关费用（按合同金额的0.4%收取。包括外贸代理公司进口业务代理费、报关费、商检费等）及进口货物按国家政策征收的一切税费（按国家政策规定采购人可以享受的免税部分除外）等全部相关费用； （2）进口产品按人民币报价，此报价不受市场价格及外汇汇率波动影响。采购人及招标代理机构不接受任何未办理合法进口手续的非国内生产产品的投标报价。 （3）投标人所提供的产品型号、产地等重要信息，需要与仪器机身保持一致。因投标人原因（有且不限于型号有误、出具的净重、参数等证明有误、保税区内税号问题等）造成进口货物无法正常报关产生的一切后果及费用由投标人自行承担。最终无法清关的，投标人须重新发运外贸合同中约定的货物。 2、售后要求 （1）售后服务效率要求：7*24即时响应（包括电话响应）；电话响应无法解决时，24小时内到达现场。修复时间48小时内；如48小时内无法修复，中标人应提供相应解决方案，以保证采购人的正常使用。 （2）售后服务标准要求：技术服务：①设备安装、调试和验收。②中标人应在合同生效后的1个月内向采购人提供详细的安装要求并提供技术咨询。③仪器到达采购人所在地，在接到采购人通知后一周内进行安装调试，直至通过验收。④维修响应时间：中标人应在24小时内对采购人的服务要求作出响应，维修服务包括电话指导和现场维修。 3、培训要求：在采购人所在地对采购人进行为期1周的免费培训。培训内容包括仪器的技术原理、操作、数据处理、基本维护等。验收后半年内组织采购人相关人员2人参加举办的相关应用培训班。 4、场地基础承载要求：若现场原有地面承载力不满足安装条件，中标人须提供地面加固、承重基座制作全套施工方案并完成施工，所有施工材料、人工、检测费用全部包含在投标总价内。 5、整机就位与调平要求：设备进场就位后，中标人完成整机多点位调平作业；所有调平组件为原厂标配，不使用简易垫块替代。 6、中标人须额外提供搬迁和安装调试一次，搬迁和安装调试过程中所产生的一切费用由中标人承担；搬迁和安装调试过程中仪器出现的一切故障和损坏由中标人负责维修修复。 7、投标保证金注意事项： （1）投标保证金缴纳截止时间：同投标文件递交截止时间一致。 （2）投标保证金须从投标人户名支付，如从个人户名或非投标人户名支付，将被拒绝，视为自动放弃投标权利（该个人是投标人的情形除外）；以保函形式交纳投标保证金的，投标人应在投标截止时间前将保函扫描成清晰的PDF文件，发送至邮箱gx86533155@163.com（邮件命名：项目编号）。保函必须由具有开具投标保函资格的单位开具；若供应商违约，开具保函单位承担连带责任； （3）保证金的退还：自中标通知书发出之日起5个工作日内退还未中标人的投标保证金,自采购合同签订之日起5个工作日内退还中标人的投标保证金。 8、需要落实的政府采购政策：①《国务院办公厅关于建立政府强制采购节能产品制度的通知》（国办发〔2007〕51号）；②《财政部司法部关于政府采购支持监狱企业发展有关问题的通知》（财库〔2014〕68号）；③《三部门联合发布关于促进残疾人就业政府采购政策的通知》（财库〔2017〕141号）；④《财政部发展改革委生态环境部市场监管总局关于调整优化节能产品、环境标志产品政府采购执行机制的通知》（财库〔2019〕9号）；⑤《关于运用政府采购政策支持乡村产业振兴的通知》（财库〔2021〕19号）；⑥《政府采购促进中小企业发展管理办法》（财库〔2020〕46号）；⑦陕西省财政厅关于印发《陕西省中小企业政府采购信用融资办法》（陕财办采〔2018〕23号）；⑧《关于进一步加大政府采购支持中小企业力度的通知》（财库〔2022〕19号）；⑨《关于扩大政府采购支持绿色建材促进建筑品质提升政策实施范围的通知》（财库〔2022〕35号）；⑩如有最新颁布的政府采购政策，按最新的文件执行。 9、所投设备不得由《关于在政府采购活动中对有关美国企业采取相关措施的通知》（财库〔2026〕10号）中列明的企业生产。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B10269"/>
    <w:rsid w:val="58B10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2026-08-03T11:46:00Z</dcterms:created>
  <dc:creator>肖肖</dc:creator>
  <cp:lastModifiedBy>肖肖</cp:lastModifiedBy>
  <dcterms:modified xsi:type="dcterms:W3CDTF">2026-08-03T11:48:00Z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7CFA9C4A25C94DB19FE17D7F48A29F44_11</vt:lpwstr>
  </property>
  <property fmtid="{D5CDD505-2E9C-101B-9397-08002B2CF9AE}" pid="4" name="KSOTemplateDocerSaveRecord">
    <vt:lpwstr>eyJoZGlkIjoiN2ViMTUyNWY5YjhlODE0NDBmNjQ0ODA1MDU0NDlmOWQiLCJ1c2VySWQiOiI0MzM4MTU0MzAifQ==</vt:lpwstr>
  </property>
</Properties>
</file>