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版本号：ZCBN-汉台区-2026-0009220260708001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ZCBN-汉台区-2026-00092</w:t>
      </w:r>
      <w:r>
        <w:br/>
      </w:r>
      <w:r>
        <w:br/>
      </w:r>
      <w:r>
        <w:br/>
      </w:r>
    </w:p>
    <w:p>
      <w:pPr>
        <w:pStyle w:val="null3"/>
        <w:jc w:val="center"/>
        <w:outlineLvl w:val="2"/>
      </w:pPr>
      <w:r>
        <w:rPr>
          <w:rFonts w:ascii="仿宋_GB2312" w:hAnsi="仿宋_GB2312" w:cs="仿宋_GB2312" w:eastAsia="仿宋_GB2312"/>
          <w:sz w:val="28"/>
          <w:b/>
        </w:rPr>
        <w:t>汉中市第九中学</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汉中市第九中学</w:t>
      </w:r>
      <w:r>
        <w:rPr>
          <w:rFonts w:ascii="仿宋_GB2312" w:hAnsi="仿宋_GB2312" w:cs="仿宋_GB2312" w:eastAsia="仿宋_GB2312"/>
        </w:rPr>
        <w:t>委托，拟对</w:t>
      </w:r>
      <w:r>
        <w:rPr>
          <w:rFonts w:ascii="仿宋_GB2312" w:hAnsi="仿宋_GB2312" w:cs="仿宋_GB2312" w:eastAsia="仿宋_GB2312"/>
        </w:rPr>
        <w:t>运动场改造项目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ZCBN-汉台区-2026-00092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跑道上喷4厚塑胶防滑颗粒；篮球场、羽毛球场、排球场、乒乓球部位新做硅PU面层；足球场做人造草皮，高40-50mm，密度9500-12000针每平方米，其余位置铺人造草皮，高15-25mm；操场内部需修剪树木；东西两侧围墙顶部增设防护网；原篮球架拆除后，根据学校要求，重新找位置安装；新安装篮球树，篮板及蓝框；操场部分花池进行修复，并为花池铺人造草皮；操场入口位置新增防腐木树池座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2、法定代表人授权委托书：法定代表人授权委托书（附法定代表人身份证复印件）及被授权委托人身份证复印件（法定代表人参加投标只须提供法定代表人身份证复印件）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4、供应商资质：供应商具有建设行政主管部门核发的建筑工程施工总承包三级以上（含三级）资质，具有有效的安全生产许可证</w:t>
      </w:r>
    </w:p>
    <w:p>
      <w:pPr>
        <w:pStyle w:val="null3"/>
      </w:pPr>
      <w:r>
        <w:rPr>
          <w:rFonts w:ascii="仿宋_GB2312" w:hAnsi="仿宋_GB2312" w:cs="仿宋_GB2312" w:eastAsia="仿宋_GB2312"/>
        </w:rPr>
        <w:t>5、拟派项目负责人资质：项目负责人应具备建筑工程专业二级（含二级)及以上注册建造师资格、具有有效的安全考核合格证（B证），且无在建工程（出具无在建承诺书）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汉中市第九中学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汉中市前进西路1966号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汉中市第九中学经办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0916-2727881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15109165813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汉中市第九中学</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汉中市第九中学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汉中市第九中学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联系电话：15109165813</w:t>
      </w:r>
    </w:p>
    <w:p>
      <w:pPr>
        <w:pStyle w:val="null3"/>
      </w:pPr>
      <w:r>
        <w:rPr>
          <w:rFonts w:ascii="仿宋_GB2312" w:hAnsi="仿宋_GB2312" w:cs="仿宋_GB2312" w:eastAsia="仿宋_GB2312"/>
        </w:rPr>
        <w:t>地址：陕西省西安市雁塔区南二环路西段88号老三届世纪星大度15E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714,281.12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汉中市第九中学运动场改造项目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标的名称：汉中市第九中学运动场改造项目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1）施工范围：工程量清单内所含的全部内容</w:t>
            </w:r>
          </w:p>
          <w:p>
            <w:pPr>
              <w:pStyle w:val="null3"/>
            </w:pPr>
            <w:r>
              <w:rPr>
                <w:rFonts w:ascii="仿宋_GB2312" w:hAnsi="仿宋_GB2312" w:cs="仿宋_GB2312" w:eastAsia="仿宋_GB2312"/>
              </w:rPr>
              <w:t>（</w:t>
            </w:r>
            <w:r>
              <w:rPr>
                <w:rFonts w:ascii="仿宋_GB2312" w:hAnsi="仿宋_GB2312" w:cs="仿宋_GB2312" w:eastAsia="仿宋_GB2312"/>
              </w:rPr>
              <w:t>2）工期：30日历天</w:t>
            </w:r>
          </w:p>
          <w:p>
            <w:pPr>
              <w:pStyle w:val="null3"/>
            </w:pPr>
            <w:r>
              <w:rPr>
                <w:rFonts w:ascii="仿宋_GB2312" w:hAnsi="仿宋_GB2312" w:cs="仿宋_GB2312" w:eastAsia="仿宋_GB2312"/>
              </w:rPr>
              <w:t>（</w:t>
            </w:r>
            <w:r>
              <w:rPr>
                <w:rFonts w:ascii="仿宋_GB2312" w:hAnsi="仿宋_GB2312" w:cs="仿宋_GB2312" w:eastAsia="仿宋_GB2312"/>
              </w:rPr>
              <w:t>3）质量标准：合格标准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4）本工程计价采用广联达造价7.0编制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响应文件按竞争性磋商文件要求在指定地方进行签字或盖章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供应商应提交的相关资格证明材料(1).pdf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 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二、评审标准：1.完整性：方案须全面,对评审内容中的各项要求均有详细描述及说明；2.可实施性：切合本项目实际情况，实施步骤清晰、合理，可实施性强；3.针对性：方案能够紧扣项目实际情况， 内容科学合理，针对性强。 三、赋分标准（满分9分）：评审内容共三项，方案内容全面详细、步骤清晰合理、贴合本项目实际、全部满足采购要求得9分。每缺失一项内容扣3分，每项内容存在1处缺陷，扣0.3分，扣完即止。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1.完整性：方案须全面,对评审内容中的各项要求均有详细描述及说明；2.可实施性：切合本项目实际情况，实施步骤清晰、合理,可实施性强；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一、评审内容：供应商针对本项目编制完整的安全施工措施，内容包含但不限于：①安全生产管理制度;②安全施工措施；③安全应急预案；④安全生产教育。 二、评审标准：1.完整性：方案须全面,对评审内容中的各项要求均有详细描述及说明；2.可实施性：切合本项目实际情况，实施步骤清晰、合理,可实施性强；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1.完整性：方案须全面,对评审内容中的各项要求均有详细描述及说明；2.可实施性：切合本项目实际情况，实施步骤清晰、合理，可实施性强；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得2分。4.分三类事件编制完整专项应急方案，细化各类突发情况处置手段、分级响应流程，附全套应急物资清单，清晰落实各岗位责任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 二、评审标准：提供项目成员配置清单，具有相关证书证件复印件或扫描件并加盖公章。 三、赋分标准： ①项目经理（5分）：具备建筑工程相关专业中级及以上职称得3分；具有2年以上项目经理执业经历得2分（执业经历以建造师注册证书时间为准），不满足不得分；②技术负责人（4分）：具备建筑工程相关专业中级及以上职称得3分；具有3年以上相关岗位任职资格得1分（任职资格以职称证发证时间为准），不满足不得分。；③安全管理人员（专职安全生产管理人员）（2分）：岗位明确、持证上岗得2分，无证不得分。④质量管理人员（2分）：岗位明确、持证上岗得2分，无证不得分。⑤施工员（2分）：岗位明确、持证上岗得2分，无证不得分。 四、证书要求：项目经理须提供职称证及建造师注册证；技术负责人须提供职称证；专职安全员持C类安全考核证；质量员、施工员持对应岗位证。所有证书均提供原件复印件，并加盖供应商公章。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注：业绩须是供应商完成的类似项目，提供中标（成交）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详见附件：供应商应提交的相关资格证明材料(1).pdf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