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版本号：SXWZ2026ZB-SGLJ-17520260824001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网络交易日常监管监测数据服务项目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SXWZ2026ZB-SGLJ-175</w:t>
      </w:r>
      <w:r>
        <w:br/>
      </w:r>
      <w:r>
        <w:br/>
      </w:r>
      <w:r>
        <w:br/>
      </w:r>
    </w:p>
    <w:p>
      <w:pPr>
        <w:pStyle w:val="null3"/>
        <w:jc w:val="center"/>
        <w:outlineLvl w:val="2"/>
      </w:pPr>
      <w:r>
        <w:rPr>
          <w:rFonts w:ascii="仿宋_GB2312" w:hAnsi="仿宋_GB2312" w:cs="仿宋_GB2312" w:eastAsia="仿宋_GB2312"/>
          <w:sz w:val="28"/>
          <w:b/>
        </w:rPr>
        <w:t>西安市市场监督管理局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w:t>
      </w:r>
      <w:r>
        <w:rPr>
          <w:rFonts w:ascii="仿宋_GB2312" w:hAnsi="仿宋_GB2312" w:cs="仿宋_GB2312" w:eastAsia="仿宋_GB2312"/>
        </w:rPr>
        <w:t>委托，拟对</w:t>
      </w:r>
      <w:r>
        <w:rPr>
          <w:rFonts w:ascii="仿宋_GB2312" w:hAnsi="仿宋_GB2312" w:cs="仿宋_GB2312" w:eastAsia="仿宋_GB2312"/>
        </w:rPr>
        <w:t>网络交易日常监管监测数据服务项目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SXWZ2026ZB-SGLJ-175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网络交易日常监管监测数据服务项目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网络交易日常监管监测数据服务项目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采购包1（网络交易日常监管监测数据服务项目）：属于专门面向中小企业采购。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7、中小企业声明函：本项目专门面向中小企业，供应商须提供中小企业声明函。</w:t>
      </w:r>
    </w:p>
    <w:p>
      <w:pPr>
        <w:pStyle w:val="null3"/>
      </w:pPr>
      <w:r>
        <w:rPr>
          <w:rFonts w:ascii="仿宋_GB2312" w:hAnsi="仿宋_GB2312" w:cs="仿宋_GB2312" w:eastAsia="仿宋_GB2312"/>
        </w:rPr>
        <w:t>8、非联合体声明：本项目不接受联合体磋商。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凤城八路109号2号楼五层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029-67098148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代理服务费收费标准：以本采购项目成交价为基数，参照（计价格[2002]1980号）文件规定的标准收费，由成交供应商在领取成交通知书时向招标代理机构交纳代理服务费，不足3000元的，按3000元计取.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符合合同约定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联系人：张航波 张刘艳</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网络交易日常监管监测数据服务项目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网络交易日常监管监测数据服务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标的名称：网络交易日常监管监测数据服务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一、商务条款</w:t>
            </w:r>
          </w:p>
          <w:p>
            <w:pPr>
              <w:pStyle w:val="null3"/>
              <w:ind w:firstLine="496"/>
              <w:jc w:val="left"/>
            </w:pPr>
            <w:r>
              <w:rPr>
                <w:rFonts w:ascii="仿宋_GB2312" w:hAnsi="仿宋_GB2312" w:cs="仿宋_GB2312" w:eastAsia="仿宋_GB2312"/>
                <w:sz w:val="24"/>
              </w:rPr>
              <w:t>1.服务条款：项目不允许分包、转包，否则采购人有权终止合同。</w:t>
            </w:r>
          </w:p>
          <w:p>
            <w:pPr>
              <w:pStyle w:val="null3"/>
              <w:ind w:firstLine="496"/>
              <w:jc w:val="left"/>
            </w:pPr>
            <w:r>
              <w:rPr>
                <w:rFonts w:ascii="仿宋_GB2312" w:hAnsi="仿宋_GB2312" w:cs="仿宋_GB2312" w:eastAsia="仿宋_GB2312"/>
                <w:sz w:val="24"/>
              </w:rPr>
              <w:t>2.服务期：</w:t>
            </w:r>
            <w:r>
              <w:rPr>
                <w:rFonts w:ascii="仿宋_GB2312" w:hAnsi="仿宋_GB2312" w:cs="仿宋_GB2312" w:eastAsia="仿宋_GB2312"/>
                <w:sz w:val="24"/>
              </w:rPr>
              <w:t>自合同签订之日起1年。</w:t>
            </w:r>
          </w:p>
          <w:p>
            <w:pPr>
              <w:pStyle w:val="null3"/>
              <w:ind w:firstLine="496"/>
              <w:jc w:val="left"/>
            </w:pPr>
            <w:r>
              <w:rPr>
                <w:rFonts w:ascii="仿宋_GB2312" w:hAnsi="仿宋_GB2312" w:cs="仿宋_GB2312" w:eastAsia="仿宋_GB2312"/>
                <w:sz w:val="24"/>
              </w:rPr>
              <w:t>3.服务地点：西安市市场监督管理局指定地点</w:t>
            </w:r>
          </w:p>
          <w:p>
            <w:pPr>
              <w:pStyle w:val="null3"/>
            </w:pPr>
            <w:r>
              <w:rPr>
                <w:rFonts w:ascii="仿宋_GB2312" w:hAnsi="仿宋_GB2312" w:cs="仿宋_GB2312" w:eastAsia="仿宋_GB2312"/>
                <w:sz w:val="24"/>
              </w:rPr>
              <w:t>4</w:t>
            </w:r>
            <w:r>
              <w:rPr>
                <w:rFonts w:ascii="仿宋_GB2312" w:hAnsi="仿宋_GB2312" w:cs="仿宋_GB2312" w:eastAsia="仿宋_GB2312"/>
                <w:sz w:val="24"/>
              </w:rPr>
              <w:t>.付款方式：</w:t>
            </w:r>
            <w:r>
              <w:rPr>
                <w:rFonts w:ascii="仿宋_GB2312" w:hAnsi="仿宋_GB2312" w:cs="仿宋_GB2312" w:eastAsia="仿宋_GB2312"/>
                <w:sz w:val="24"/>
              </w:rPr>
              <w:t>合同签订后支付合同金额60%（支付金额不超过21万元），服务期满验收合格后支付剩余合同金额。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outlineLvl w:val="0"/>
            </w:pPr>
            <w:r>
              <w:rPr>
                <w:rFonts w:ascii="仿宋_GB2312" w:hAnsi="仿宋_GB2312" w:cs="仿宋_GB2312" w:eastAsia="仿宋_GB2312"/>
                <w:sz w:val="24"/>
                <w:b/>
                <w:color w:val="000000"/>
              </w:rPr>
              <w:t>一、监测要求</w:t>
            </w:r>
          </w:p>
          <w:p>
            <w:pPr>
              <w:pStyle w:val="null3"/>
              <w:ind w:firstLine="480"/>
            </w:pPr>
            <w:r>
              <w:rPr>
                <w:rFonts w:ascii="仿宋_GB2312" w:hAnsi="仿宋_GB2312" w:cs="仿宋_GB2312" w:eastAsia="仿宋_GB2312"/>
                <w:sz w:val="24"/>
                <w:color w:val="000000"/>
              </w:rPr>
              <w:t>监测工作按照日常监测、专项监测、临时监测等方式进行，要求完成主体建档并按需求完成监测任务。</w:t>
            </w:r>
          </w:p>
          <w:p>
            <w:pPr>
              <w:pStyle w:val="null3"/>
              <w:ind w:firstLine="482"/>
            </w:pPr>
            <w:r>
              <w:rPr>
                <w:rFonts w:ascii="仿宋_GB2312" w:hAnsi="仿宋_GB2312" w:cs="仿宋_GB2312" w:eastAsia="仿宋_GB2312"/>
                <w:sz w:val="24"/>
                <w:b/>
                <w:color w:val="000000"/>
              </w:rPr>
              <w:t>（一）日常监测</w:t>
            </w:r>
            <w:r>
              <w:rPr>
                <w:rFonts w:ascii="仿宋_GB2312" w:hAnsi="仿宋_GB2312" w:cs="仿宋_GB2312" w:eastAsia="仿宋_GB2312"/>
                <w:sz w:val="24"/>
                <w:color w:val="000000"/>
              </w:rPr>
              <w:t>。每月发现主体资质、证照合规、虚假宣传、广告违法、禁售商品、价格违法、知识产权侵权、产品质量、不正当竞争、食品、药品、医疗器械、化妆品、餐饮等方面的违法违规。同时，对疑似违法违规线索进行存证固证，生成电子证据文书。每月提供线索和监测报告。</w:t>
            </w:r>
          </w:p>
          <w:p>
            <w:pPr>
              <w:pStyle w:val="null3"/>
              <w:ind w:firstLine="482"/>
            </w:pPr>
            <w:r>
              <w:rPr>
                <w:rFonts w:ascii="仿宋_GB2312" w:hAnsi="仿宋_GB2312" w:cs="仿宋_GB2312" w:eastAsia="仿宋_GB2312"/>
                <w:sz w:val="24"/>
                <w:b/>
                <w:color w:val="000000"/>
              </w:rPr>
              <w:t>（二）专项监测</w:t>
            </w:r>
            <w:r>
              <w:rPr>
                <w:rFonts w:ascii="仿宋_GB2312" w:hAnsi="仿宋_GB2312" w:cs="仿宋_GB2312" w:eastAsia="仿宋_GB2312"/>
                <w:sz w:val="24"/>
                <w:color w:val="000000"/>
              </w:rPr>
              <w:t>。为春节、315、618、双十一等重大节日节点的监测，网剑行动以及市场监管领域突发性社会热点或舆论情形及事件、野生动植物保护（如野生鸟类在网交易等）。及时发现消费侵权、超范围经营、侵犯知识产权、注销企业仍在线经营、价格违法、不正当竞争、广告宣传、虚假宣传、违法促销、禁售商品等方面的违法违规。同时，对疑似违法违规线索进行存证固证，生成电子证据文书，并提供线索和监测报告。监测次数不少于6次。</w:t>
            </w:r>
          </w:p>
          <w:p>
            <w:pPr>
              <w:pStyle w:val="null3"/>
              <w:ind w:firstLine="482"/>
            </w:pPr>
            <w:r>
              <w:rPr>
                <w:rFonts w:ascii="仿宋_GB2312" w:hAnsi="仿宋_GB2312" w:cs="仿宋_GB2312" w:eastAsia="仿宋_GB2312"/>
                <w:sz w:val="24"/>
                <w:b/>
                <w:color w:val="000000"/>
              </w:rPr>
              <w:t>（三）重点监测</w:t>
            </w:r>
            <w:r>
              <w:rPr>
                <w:rFonts w:ascii="仿宋_GB2312" w:hAnsi="仿宋_GB2312" w:cs="仿宋_GB2312" w:eastAsia="仿宋_GB2312"/>
                <w:sz w:val="24"/>
                <w:color w:val="000000"/>
              </w:rPr>
              <w:t>。每月监测辖区内重点部署的监测任务，重点监测的内容需建立监测机制，制定监测方案，并根据需求及时提交违法线索和监测报告。监测次数不少于4次。</w:t>
            </w:r>
          </w:p>
          <w:p>
            <w:pPr>
              <w:pStyle w:val="null3"/>
              <w:ind w:firstLine="482"/>
            </w:pPr>
            <w:r>
              <w:rPr>
                <w:rFonts w:ascii="仿宋_GB2312" w:hAnsi="仿宋_GB2312" w:cs="仿宋_GB2312" w:eastAsia="仿宋_GB2312"/>
                <w:sz w:val="24"/>
                <w:b/>
                <w:color w:val="000000"/>
              </w:rPr>
              <w:t>（四）针对网络市场经营主体和监测情况进行定期数据分析</w:t>
            </w:r>
            <w:r>
              <w:rPr>
                <w:rFonts w:ascii="仿宋_GB2312" w:hAnsi="仿宋_GB2312" w:cs="仿宋_GB2312" w:eastAsia="仿宋_GB2312"/>
                <w:sz w:val="24"/>
                <w:color w:val="000000"/>
              </w:rPr>
              <w:t>，提供半年监测报告、全年监测报告各一份。</w:t>
            </w:r>
          </w:p>
          <w:p>
            <w:pPr>
              <w:pStyle w:val="null3"/>
              <w:ind w:firstLine="482"/>
            </w:pPr>
            <w:r>
              <w:rPr>
                <w:rFonts w:ascii="仿宋_GB2312" w:hAnsi="仿宋_GB2312" w:cs="仿宋_GB2312" w:eastAsia="仿宋_GB2312"/>
                <w:sz w:val="24"/>
                <w:b/>
                <w:color w:val="000000"/>
              </w:rPr>
              <w:t>（五）临时紧急性监测。</w:t>
            </w:r>
            <w:r>
              <w:rPr>
                <w:rFonts w:ascii="仿宋_GB2312" w:hAnsi="仿宋_GB2312" w:cs="仿宋_GB2312" w:eastAsia="仿宋_GB2312"/>
                <w:sz w:val="24"/>
                <w:color w:val="000000"/>
              </w:rPr>
              <w:t>根据市局要求开展临时紧急性监测。监测次数按市要求落实。</w:t>
            </w:r>
          </w:p>
          <w:p>
            <w:pPr>
              <w:pStyle w:val="null3"/>
              <w:jc w:val="left"/>
              <w:outlineLvl w:val="0"/>
            </w:pPr>
            <w:r>
              <w:rPr>
                <w:rFonts w:ascii="仿宋_GB2312" w:hAnsi="仿宋_GB2312" w:cs="仿宋_GB2312" w:eastAsia="仿宋_GB2312"/>
                <w:sz w:val="24"/>
                <w:b/>
                <w:color w:val="000000"/>
              </w:rPr>
              <w:t>二、主体建档</w:t>
            </w:r>
          </w:p>
          <w:p>
            <w:pPr>
              <w:pStyle w:val="null3"/>
              <w:ind w:left="30" w:firstLine="606"/>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完成电商平台内</w:t>
            </w:r>
            <w:r>
              <w:rPr>
                <w:rFonts w:ascii="仿宋_GB2312" w:hAnsi="仿宋_GB2312" w:cs="仿宋_GB2312" w:eastAsia="仿宋_GB2312"/>
                <w:sz w:val="24"/>
                <w:b/>
                <w:color w:val="000000"/>
              </w:rPr>
              <w:t>西安市</w:t>
            </w:r>
            <w:r>
              <w:rPr>
                <w:rFonts w:ascii="仿宋_GB2312" w:hAnsi="仿宋_GB2312" w:cs="仿宋_GB2312" w:eastAsia="仿宋_GB2312"/>
                <w:sz w:val="24"/>
                <w:b/>
                <w:color w:val="000000"/>
              </w:rPr>
              <w:t>网店信息监测。</w:t>
            </w:r>
            <w:r>
              <w:rPr>
                <w:rFonts w:ascii="仿宋_GB2312" w:hAnsi="仿宋_GB2312" w:cs="仿宋_GB2312" w:eastAsia="仿宋_GB2312"/>
                <w:sz w:val="24"/>
                <w:color w:val="000000"/>
              </w:rPr>
              <w:t>主要包含淘宝</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天猫、京东及1688 </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平台</w:t>
            </w:r>
            <w:r>
              <w:rPr>
                <w:rFonts w:ascii="仿宋_GB2312" w:hAnsi="仿宋_GB2312" w:cs="仿宋_GB2312" w:eastAsia="仿宋_GB2312"/>
                <w:sz w:val="24"/>
                <w:color w:val="000000"/>
              </w:rPr>
              <w:t>西安市</w:t>
            </w:r>
            <w:r>
              <w:rPr>
                <w:rFonts w:ascii="仿宋_GB2312" w:hAnsi="仿宋_GB2312" w:cs="仿宋_GB2312" w:eastAsia="仿宋_GB2312"/>
                <w:sz w:val="24"/>
                <w:color w:val="000000"/>
              </w:rPr>
              <w:t>网店的监测，监测店铺名称、店铺链接、商品标题、商品链接、商品参数、企业名称、管辖单位、信用代码及注册地址等信息，并对经营的网店进行分类标签管理。</w:t>
            </w:r>
          </w:p>
          <w:p>
            <w:pPr>
              <w:pStyle w:val="null3"/>
              <w:ind w:left="30" w:firstLine="606"/>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完成</w:t>
            </w:r>
            <w:r>
              <w:rPr>
                <w:rFonts w:ascii="仿宋_GB2312" w:hAnsi="仿宋_GB2312" w:cs="仿宋_GB2312" w:eastAsia="仿宋_GB2312"/>
                <w:sz w:val="24"/>
                <w:b/>
                <w:color w:val="000000"/>
              </w:rPr>
              <w:t>餐饮外卖</w:t>
            </w:r>
            <w:r>
              <w:rPr>
                <w:rFonts w:ascii="仿宋_GB2312" w:hAnsi="仿宋_GB2312" w:cs="仿宋_GB2312" w:eastAsia="仿宋_GB2312"/>
                <w:sz w:val="24"/>
                <w:b/>
                <w:color w:val="000000"/>
              </w:rPr>
              <w:t>平台内</w:t>
            </w:r>
            <w:r>
              <w:rPr>
                <w:rFonts w:ascii="仿宋_GB2312" w:hAnsi="仿宋_GB2312" w:cs="仿宋_GB2312" w:eastAsia="仿宋_GB2312"/>
                <w:sz w:val="24"/>
                <w:b/>
                <w:color w:val="000000"/>
              </w:rPr>
              <w:t>西安市</w:t>
            </w:r>
            <w:r>
              <w:rPr>
                <w:rFonts w:ascii="仿宋_GB2312" w:hAnsi="仿宋_GB2312" w:cs="仿宋_GB2312" w:eastAsia="仿宋_GB2312"/>
                <w:sz w:val="24"/>
                <w:b/>
                <w:color w:val="000000"/>
              </w:rPr>
              <w:t>网店信息监测。</w:t>
            </w:r>
            <w:r>
              <w:rPr>
                <w:rFonts w:ascii="仿宋_GB2312" w:hAnsi="仿宋_GB2312" w:cs="仿宋_GB2312" w:eastAsia="仿宋_GB2312"/>
                <w:sz w:val="24"/>
                <w:color w:val="000000"/>
              </w:rPr>
              <w:t>主要</w:t>
            </w:r>
            <w:r>
              <w:rPr>
                <w:rFonts w:ascii="仿宋_GB2312" w:hAnsi="仿宋_GB2312" w:cs="仿宋_GB2312" w:eastAsia="仿宋_GB2312"/>
                <w:sz w:val="24"/>
                <w:color w:val="000000"/>
              </w:rPr>
              <w:t>包括美团、淘宝闪购、京东等外卖</w:t>
            </w:r>
            <w:r>
              <w:rPr>
                <w:rFonts w:ascii="仿宋_GB2312" w:hAnsi="仿宋_GB2312" w:cs="仿宋_GB2312" w:eastAsia="仿宋_GB2312"/>
                <w:sz w:val="24"/>
                <w:color w:val="000000"/>
              </w:rPr>
              <w:t>平台</w:t>
            </w:r>
            <w:r>
              <w:rPr>
                <w:rFonts w:ascii="仿宋_GB2312" w:hAnsi="仿宋_GB2312" w:cs="仿宋_GB2312" w:eastAsia="仿宋_GB2312"/>
                <w:sz w:val="24"/>
                <w:color w:val="000000"/>
              </w:rPr>
              <w:t>西安市</w:t>
            </w:r>
            <w:r>
              <w:rPr>
                <w:rFonts w:ascii="仿宋_GB2312" w:hAnsi="仿宋_GB2312" w:cs="仿宋_GB2312" w:eastAsia="仿宋_GB2312"/>
                <w:sz w:val="24"/>
                <w:color w:val="000000"/>
              </w:rPr>
              <w:t>网店的监测，监测店铺名称、店铺链接、</w:t>
            </w:r>
            <w:r>
              <w:rPr>
                <w:rFonts w:ascii="仿宋_GB2312" w:hAnsi="仿宋_GB2312" w:cs="仿宋_GB2312" w:eastAsia="仿宋_GB2312"/>
                <w:sz w:val="24"/>
                <w:color w:val="000000"/>
              </w:rPr>
              <w:t>店铺地址</w:t>
            </w:r>
            <w:r>
              <w:rPr>
                <w:rFonts w:ascii="仿宋_GB2312" w:hAnsi="仿宋_GB2312" w:cs="仿宋_GB2312" w:eastAsia="仿宋_GB2312"/>
                <w:sz w:val="24"/>
                <w:color w:val="000000"/>
              </w:rPr>
              <w:t>等信息，并对经营的网店进行分类标签管理。</w:t>
            </w:r>
          </w:p>
          <w:p>
            <w:pPr>
              <w:pStyle w:val="null3"/>
              <w:ind w:left="30" w:right="90" w:firstLine="604"/>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完成微信公众号和微信小程序的经营信息监测。</w:t>
            </w:r>
            <w:r>
              <w:rPr>
                <w:rFonts w:ascii="仿宋_GB2312" w:hAnsi="仿宋_GB2312" w:cs="仿宋_GB2312" w:eastAsia="仿宋_GB2312"/>
                <w:sz w:val="24"/>
                <w:color w:val="000000"/>
              </w:rPr>
              <w:t>主要包含账号主体信息、主体名称、所属企业、发布的文章内容、企业经营地址及登记机关等。</w:t>
            </w:r>
          </w:p>
          <w:p>
            <w:pPr>
              <w:pStyle w:val="null3"/>
              <w:ind w:left="30" w:right="90" w:firstLine="603"/>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完成</w:t>
            </w:r>
            <w:r>
              <w:rPr>
                <w:rFonts w:ascii="仿宋_GB2312" w:hAnsi="仿宋_GB2312" w:cs="仿宋_GB2312" w:eastAsia="仿宋_GB2312"/>
                <w:sz w:val="24"/>
                <w:b/>
                <w:color w:val="000000"/>
              </w:rPr>
              <w:t>西安市</w:t>
            </w:r>
            <w:r>
              <w:rPr>
                <w:rFonts w:ascii="仿宋_GB2312" w:hAnsi="仿宋_GB2312" w:cs="仿宋_GB2312" w:eastAsia="仿宋_GB2312"/>
                <w:sz w:val="24"/>
                <w:b/>
                <w:color w:val="000000"/>
              </w:rPr>
              <w:t>企业本地自建网站的排查。</w:t>
            </w:r>
            <w:r>
              <w:rPr>
                <w:rFonts w:ascii="仿宋_GB2312" w:hAnsi="仿宋_GB2312" w:cs="仿宋_GB2312" w:eastAsia="仿宋_GB2312"/>
                <w:sz w:val="24"/>
                <w:color w:val="000000"/>
              </w:rPr>
              <w:t>排查</w:t>
            </w:r>
            <w:r>
              <w:rPr>
                <w:rFonts w:ascii="仿宋_GB2312" w:hAnsi="仿宋_GB2312" w:cs="仿宋_GB2312" w:eastAsia="仿宋_GB2312"/>
                <w:sz w:val="24"/>
                <w:color w:val="000000"/>
              </w:rPr>
              <w:t>西安市</w:t>
            </w:r>
            <w:r>
              <w:rPr>
                <w:rFonts w:ascii="仿宋_GB2312" w:hAnsi="仿宋_GB2312" w:cs="仿宋_GB2312" w:eastAsia="仿宋_GB2312"/>
                <w:sz w:val="24"/>
                <w:color w:val="000000"/>
              </w:rPr>
              <w:t>企业在网</w:t>
            </w:r>
            <w:r>
              <w:rPr>
                <w:rFonts w:ascii="仿宋_GB2312" w:hAnsi="仿宋_GB2312" w:cs="仿宋_GB2312" w:eastAsia="仿宋_GB2312"/>
                <w:sz w:val="24"/>
                <w:color w:val="000000"/>
              </w:rPr>
              <w:t>络市场中经营情况。具体监测信息为网站名、网站网</w:t>
            </w:r>
            <w:r>
              <w:rPr>
                <w:rFonts w:ascii="仿宋_GB2312" w:hAnsi="仿宋_GB2312" w:cs="仿宋_GB2312" w:eastAsia="仿宋_GB2312"/>
                <w:sz w:val="24"/>
                <w:color w:val="000000"/>
              </w:rPr>
              <w:t>址、网站备</w:t>
            </w:r>
            <w:r>
              <w:rPr>
                <w:rFonts w:ascii="仿宋_GB2312" w:hAnsi="仿宋_GB2312" w:cs="仿宋_GB2312" w:eastAsia="仿宋_GB2312"/>
                <w:sz w:val="24"/>
                <w:color w:val="000000"/>
              </w:rPr>
              <w:t>案号、企业名称、法定代表人、统一社会信用代码、所属地市、经营地址等信息等；</w:t>
            </w:r>
          </w:p>
          <w:p>
            <w:pPr>
              <w:pStyle w:val="null3"/>
              <w:ind w:left="30" w:right="45" w:firstLine="594"/>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排查是否有交易属性特征，排查出第三方交易平台属性的网</w:t>
            </w:r>
            <w:r>
              <w:rPr>
                <w:rFonts w:ascii="仿宋_GB2312" w:hAnsi="仿宋_GB2312" w:cs="仿宋_GB2312" w:eastAsia="仿宋_GB2312"/>
                <w:sz w:val="24"/>
                <w:b/>
                <w:color w:val="000000"/>
              </w:rPr>
              <w:t>站，并对排查出网站做区域分布。</w:t>
            </w:r>
          </w:p>
          <w:p>
            <w:pPr>
              <w:pStyle w:val="null3"/>
              <w:jc w:val="left"/>
              <w:outlineLvl w:val="0"/>
            </w:pPr>
            <w:r>
              <w:rPr>
                <w:rFonts w:ascii="仿宋_GB2312" w:hAnsi="仿宋_GB2312" w:cs="仿宋_GB2312" w:eastAsia="仿宋_GB2312"/>
                <w:sz w:val="24"/>
                <w:b/>
                <w:color w:val="000000"/>
              </w:rPr>
              <w:t>三、主要监测内容</w:t>
            </w:r>
          </w:p>
          <w:p>
            <w:pPr>
              <w:pStyle w:val="null3"/>
              <w:jc w:val="left"/>
              <w:outlineLvl w:val="1"/>
            </w:pPr>
            <w:r>
              <w:rPr>
                <w:rFonts w:ascii="仿宋_GB2312" w:hAnsi="仿宋_GB2312" w:cs="仿宋_GB2312" w:eastAsia="仿宋_GB2312"/>
                <w:sz w:val="24"/>
                <w:b/>
                <w:color w:val="000000"/>
              </w:rPr>
              <w:t>（一）外卖餐饮监测</w:t>
            </w:r>
          </w:p>
          <w:p>
            <w:pPr>
              <w:pStyle w:val="null3"/>
              <w:ind w:firstLine="480"/>
              <w:jc w:val="left"/>
            </w:pPr>
            <w:r>
              <w:rPr>
                <w:rFonts w:ascii="仿宋_GB2312" w:hAnsi="仿宋_GB2312" w:cs="仿宋_GB2312" w:eastAsia="仿宋_GB2312"/>
                <w:sz w:val="24"/>
                <w:color w:val="000000"/>
              </w:rPr>
              <w:t>对第三方网络餐饮平台入驻的商铺进行监测，违规类型包含：</w:t>
            </w:r>
          </w:p>
          <w:p>
            <w:pPr>
              <w:pStyle w:val="null3"/>
              <w:ind w:firstLine="480"/>
              <w:jc w:val="left"/>
            </w:pPr>
            <w:r>
              <w:rPr>
                <w:rFonts w:ascii="仿宋_GB2312" w:hAnsi="仿宋_GB2312" w:cs="仿宋_GB2312" w:eastAsia="仿宋_GB2312"/>
                <w:sz w:val="24"/>
                <w:color w:val="000000"/>
              </w:rPr>
              <w:t>1.网络餐饮外卖主体的亮证亮照情况：（1）在餐饮店铺未公示营业执照、食品经营许可证；（2）存在营业执照注销、食品经营许可证注销的情况；（3）存在营业执照超期、食品经营许可证超期的情况；</w:t>
            </w:r>
          </w:p>
          <w:p>
            <w:pPr>
              <w:pStyle w:val="null3"/>
              <w:ind w:firstLine="480"/>
              <w:jc w:val="left"/>
            </w:pPr>
            <w:r>
              <w:rPr>
                <w:rFonts w:ascii="仿宋_GB2312" w:hAnsi="仿宋_GB2312" w:cs="仿宋_GB2312" w:eastAsia="仿宋_GB2312"/>
                <w:sz w:val="24"/>
                <w:color w:val="000000"/>
              </w:rPr>
              <w:t>2.入网餐饮服务提供者营业执照或食品经营许可证不一致：未按照食品经营许可证载明的主体业态从事经营活动、多店一证；</w:t>
            </w:r>
          </w:p>
          <w:p>
            <w:pPr>
              <w:pStyle w:val="null3"/>
              <w:ind w:firstLine="480"/>
              <w:jc w:val="left"/>
            </w:pPr>
            <w:r>
              <w:rPr>
                <w:rFonts w:ascii="仿宋_GB2312" w:hAnsi="仿宋_GB2312" w:cs="仿宋_GB2312" w:eastAsia="仿宋_GB2312"/>
                <w:sz w:val="24"/>
                <w:color w:val="000000"/>
              </w:rPr>
              <w:t>3.入网餐饮服务提供者未按照食品经营许可证载明的经营项目从事经营活动，如：超范围经营等；</w:t>
            </w:r>
          </w:p>
          <w:p>
            <w:pPr>
              <w:pStyle w:val="null3"/>
              <w:ind w:firstLine="480"/>
              <w:jc w:val="left"/>
            </w:pPr>
            <w:r>
              <w:rPr>
                <w:rFonts w:ascii="仿宋_GB2312" w:hAnsi="仿宋_GB2312" w:cs="仿宋_GB2312" w:eastAsia="仿宋_GB2312"/>
                <w:sz w:val="24"/>
                <w:color w:val="000000"/>
              </w:rPr>
              <w:t>4.其他违法违规行为等。</w:t>
            </w:r>
          </w:p>
          <w:p>
            <w:pPr>
              <w:pStyle w:val="null3"/>
              <w:jc w:val="left"/>
              <w:outlineLvl w:val="1"/>
            </w:pPr>
            <w:r>
              <w:rPr>
                <w:rFonts w:ascii="仿宋_GB2312" w:hAnsi="仿宋_GB2312" w:cs="仿宋_GB2312" w:eastAsia="仿宋_GB2312"/>
                <w:sz w:val="24"/>
                <w:b/>
                <w:color w:val="000000"/>
              </w:rPr>
              <w:t>（二）食品监测</w:t>
            </w:r>
          </w:p>
          <w:p>
            <w:pPr>
              <w:pStyle w:val="null3"/>
              <w:ind w:firstLine="480"/>
              <w:jc w:val="left"/>
            </w:pPr>
            <w:r>
              <w:rPr>
                <w:rFonts w:ascii="仿宋_GB2312" w:hAnsi="仿宋_GB2312" w:cs="仿宋_GB2312" w:eastAsia="仿宋_GB2312"/>
                <w:sz w:val="24"/>
                <w:color w:val="000000"/>
              </w:rPr>
              <w:t>1.非保健食品误导性宣传：对广告、宣传文案、社交媒体上的帖子等内容进行监测，特别关注那些使用“保健”“养生”“疗效”等关键词，且未明确标注为保健食品的产品。这类宣传可能会误导消费者认为普通食品具有保健功能。</w:t>
            </w:r>
          </w:p>
          <w:p>
            <w:pPr>
              <w:pStyle w:val="null3"/>
              <w:ind w:firstLine="480"/>
              <w:jc w:val="left"/>
            </w:pPr>
            <w:r>
              <w:rPr>
                <w:rFonts w:ascii="仿宋_GB2312" w:hAnsi="仿宋_GB2312" w:cs="仿宋_GB2312" w:eastAsia="仿宋_GB2312"/>
                <w:sz w:val="24"/>
                <w:color w:val="000000"/>
              </w:rPr>
              <w:t>2.保健食品注册备案信息核实：通过比对保健食品的注册证书或备案凭证上的信息与市场上销售的产品信息，确保产品名称、生产商、生产日期、批准文号等关键信息一致。同时，我们将关注是否存在伪造、篡改注册证书或备案凭证的违法行为。</w:t>
            </w:r>
          </w:p>
          <w:p>
            <w:pPr>
              <w:pStyle w:val="null3"/>
              <w:ind w:firstLine="480"/>
              <w:jc w:val="left"/>
            </w:pPr>
            <w:r>
              <w:rPr>
                <w:rFonts w:ascii="仿宋_GB2312" w:hAnsi="仿宋_GB2312" w:cs="仿宋_GB2312" w:eastAsia="仿宋_GB2312"/>
                <w:sz w:val="24"/>
                <w:color w:val="000000"/>
              </w:rPr>
              <w:t>3.婴幼儿配方乳粉功能宣传规范：重点关注婴幼儿配方乳粉的宣传文案，特别是那些使用“益智”“增强抵抗力”“提高免疫力”等关键词的宣传。我们将确保这些宣传符合相关法律法规的规定，不夸大产品的功能。</w:t>
            </w:r>
          </w:p>
          <w:p>
            <w:pPr>
              <w:pStyle w:val="null3"/>
              <w:ind w:firstLine="480"/>
              <w:jc w:val="left"/>
            </w:pPr>
            <w:r>
              <w:rPr>
                <w:rFonts w:ascii="仿宋_GB2312" w:hAnsi="仿宋_GB2312" w:cs="仿宋_GB2312" w:eastAsia="仿宋_GB2312"/>
                <w:sz w:val="24"/>
                <w:color w:val="000000"/>
              </w:rPr>
              <w:t>4.食品标签中药材使用合规性：在食品标签的配料表中，我们将重点关注是否存在药食同源之外的中药材。特别是那些具有潜在健康风险的中药材，如某些含有毒素或副作用的草药。我们将确保这些中药材不在普通食品的配料中出现。</w:t>
            </w:r>
          </w:p>
          <w:p>
            <w:pPr>
              <w:pStyle w:val="null3"/>
              <w:ind w:firstLine="480"/>
              <w:jc w:val="left"/>
            </w:pPr>
            <w:r>
              <w:rPr>
                <w:rFonts w:ascii="仿宋_GB2312" w:hAnsi="仿宋_GB2312" w:cs="仿宋_GB2312" w:eastAsia="仿宋_GB2312"/>
                <w:sz w:val="24"/>
                <w:color w:val="000000"/>
              </w:rPr>
              <w:t>5.食品标签及说明书的真实性：监测食品标签和说明书上的信息是否真实、准确，特别是涉及产品功能、成分、生产日期、保质期等关键信息的内容以及是否存在夸大产品功能、隐瞒不良信息等违法行为。</w:t>
            </w:r>
          </w:p>
          <w:p>
            <w:pPr>
              <w:pStyle w:val="null3"/>
              <w:ind w:firstLine="480"/>
              <w:jc w:val="left"/>
            </w:pPr>
            <w:r>
              <w:rPr>
                <w:rFonts w:ascii="仿宋_GB2312" w:hAnsi="仿宋_GB2312" w:cs="仿宋_GB2312" w:eastAsia="仿宋_GB2312"/>
                <w:sz w:val="24"/>
                <w:color w:val="000000"/>
              </w:rPr>
              <w:t>6.食品广告道德及公序良俗：监测食品广告的内容是否符合道德和公序良俗的要求，特别是涉及低俗、暴力、色情等元素的广告内容。</w:t>
            </w:r>
          </w:p>
          <w:p>
            <w:pPr>
              <w:pStyle w:val="null3"/>
              <w:ind w:firstLine="480"/>
              <w:jc w:val="left"/>
            </w:pPr>
            <w:r>
              <w:rPr>
                <w:rFonts w:ascii="仿宋_GB2312" w:hAnsi="仿宋_GB2312" w:cs="仿宋_GB2312" w:eastAsia="仿宋_GB2312"/>
                <w:sz w:val="24"/>
                <w:color w:val="000000"/>
              </w:rPr>
              <w:t>7.食品包装与标签标识合规性：监测食品包装和标签上的标识是否符合相关法律法规的要求，特别是涉及生产日期、保质期、生产厂家、产品标准号等关键信息的标识。</w:t>
            </w:r>
          </w:p>
          <w:p>
            <w:pPr>
              <w:pStyle w:val="null3"/>
              <w:ind w:firstLine="480"/>
              <w:jc w:val="left"/>
            </w:pPr>
            <w:r>
              <w:rPr>
                <w:rFonts w:ascii="仿宋_GB2312" w:hAnsi="仿宋_GB2312" w:cs="仿宋_GB2312" w:eastAsia="仿宋_GB2312"/>
                <w:sz w:val="24"/>
                <w:color w:val="000000"/>
              </w:rPr>
              <w:t>8.特殊医学用途配方食品标注规范：监测市场上是否存在普通食品标注为特殊医学用途配方食品的情况。特别是使用“医学”“治疗”“康复”等关键词的产品名称和宣传文案。</w:t>
            </w:r>
          </w:p>
          <w:p>
            <w:pPr>
              <w:pStyle w:val="null3"/>
              <w:ind w:firstLine="480"/>
              <w:jc w:val="left"/>
            </w:pPr>
            <w:r>
              <w:rPr>
                <w:rFonts w:ascii="仿宋_GB2312" w:hAnsi="仿宋_GB2312" w:cs="仿宋_GB2312" w:eastAsia="仿宋_GB2312"/>
                <w:sz w:val="24"/>
                <w:color w:val="000000"/>
              </w:rPr>
              <w:t>9.食品名称道德伦理审核：监测食品名称不含有侮辱、歧视、恶意攻击等不当内容以及使用与产品实际功能不符或夸大其词的名称，如使用“超级”“无敌”等夸张词汇的产品名称。</w:t>
            </w:r>
          </w:p>
          <w:p>
            <w:pPr>
              <w:pStyle w:val="null3"/>
              <w:ind w:firstLine="480"/>
              <w:jc w:val="left"/>
            </w:pPr>
            <w:r>
              <w:rPr>
                <w:rFonts w:ascii="仿宋_GB2312" w:hAnsi="仿宋_GB2312" w:cs="仿宋_GB2312" w:eastAsia="仿宋_GB2312"/>
                <w:sz w:val="24"/>
                <w:color w:val="000000"/>
              </w:rPr>
              <w:t>10.减肥类食品及宣传监测：监测减肥类食品的宣传文案，重点关注使用“快速减肥”“瘦身神器”等夸张词汇的宣传以及产品的实际效果和安全性，确保减肥类食品不会对消费者的健康造成损害。</w:t>
            </w:r>
          </w:p>
          <w:p>
            <w:pPr>
              <w:pStyle w:val="null3"/>
              <w:ind w:firstLine="480"/>
              <w:jc w:val="left"/>
            </w:pPr>
            <w:r>
              <w:rPr>
                <w:rFonts w:ascii="仿宋_GB2312" w:hAnsi="仿宋_GB2312" w:cs="仿宋_GB2312" w:eastAsia="仿宋_GB2312"/>
                <w:sz w:val="24"/>
                <w:color w:val="000000"/>
              </w:rPr>
              <w:t>11.许可证和备案核查：定期核查食品经营者是否持有有效的食品生产经营许可证（食用农产品销售除外），并确认其许可范围。检查仅销售预包装食品的经营者是否已在营业执照上显示办理备案，并验证备案信息的真实性。</w:t>
            </w:r>
          </w:p>
          <w:p>
            <w:pPr>
              <w:pStyle w:val="null3"/>
              <w:ind w:firstLine="480"/>
              <w:jc w:val="left"/>
            </w:pPr>
            <w:r>
              <w:rPr>
                <w:rFonts w:ascii="仿宋_GB2312" w:hAnsi="仿宋_GB2312" w:cs="仿宋_GB2312" w:eastAsia="仿宋_GB2312"/>
                <w:sz w:val="24"/>
                <w:color w:val="000000"/>
              </w:rPr>
              <w:t>12.销售范围合规性监测：实时监测网络食品销售者是否超出其许可的类别范围进行销售，同时监测商品详情、描述、分类等是否与其许可证上的范围一致。</w:t>
            </w:r>
          </w:p>
          <w:p>
            <w:pPr>
              <w:pStyle w:val="null3"/>
              <w:ind w:firstLine="480"/>
              <w:jc w:val="left"/>
            </w:pPr>
            <w:r>
              <w:rPr>
                <w:rFonts w:ascii="仿宋_GB2312" w:hAnsi="仿宋_GB2312" w:cs="仿宋_GB2312" w:eastAsia="仿宋_GB2312"/>
                <w:sz w:val="24"/>
                <w:color w:val="000000"/>
              </w:rPr>
              <w:t>13.广告宣传与宣传语监测：监测网络食品销售经营者的广告宣传是否真实、合法，是否涉及虚假宣传或误导性内容，重点加大对食品功效、治疗效果等夸大其词的宣传语监测。</w:t>
            </w:r>
          </w:p>
          <w:p>
            <w:pPr>
              <w:pStyle w:val="null3"/>
              <w:ind w:firstLine="480"/>
              <w:jc w:val="left"/>
            </w:pPr>
            <w:r>
              <w:rPr>
                <w:rFonts w:ascii="仿宋_GB2312" w:hAnsi="仿宋_GB2312" w:cs="仿宋_GB2312" w:eastAsia="仿宋_GB2312"/>
                <w:sz w:val="24"/>
                <w:color w:val="000000"/>
              </w:rPr>
              <w:t>14.消费者评价：监测消费者对食品的评价，及时发现并处理潜在的质量问题和安全隐患。</w:t>
            </w:r>
          </w:p>
          <w:p>
            <w:pPr>
              <w:pStyle w:val="null3"/>
              <w:jc w:val="left"/>
              <w:outlineLvl w:val="1"/>
            </w:pPr>
            <w:r>
              <w:rPr>
                <w:rFonts w:ascii="仿宋_GB2312" w:hAnsi="仿宋_GB2312" w:cs="仿宋_GB2312" w:eastAsia="仿宋_GB2312"/>
                <w:sz w:val="24"/>
                <w:b/>
                <w:color w:val="000000"/>
              </w:rPr>
              <w:t>（三）药品监测</w:t>
            </w:r>
          </w:p>
          <w:p>
            <w:pPr>
              <w:pStyle w:val="null3"/>
              <w:ind w:firstLine="480"/>
              <w:jc w:val="left"/>
            </w:pPr>
            <w:r>
              <w:rPr>
                <w:rFonts w:ascii="仿宋_GB2312" w:hAnsi="仿宋_GB2312" w:cs="仿宋_GB2312" w:eastAsia="仿宋_GB2312"/>
                <w:sz w:val="24"/>
                <w:color w:val="000000"/>
              </w:rPr>
              <w:t>针对网售药品开展网络销售药品合法性监测，重点监测以下几个方面的内容：</w:t>
            </w:r>
          </w:p>
          <w:p>
            <w:pPr>
              <w:pStyle w:val="null3"/>
              <w:ind w:firstLine="480"/>
              <w:jc w:val="left"/>
            </w:pPr>
            <w:r>
              <w:rPr>
                <w:rFonts w:ascii="仿宋_GB2312" w:hAnsi="仿宋_GB2312" w:cs="仿宋_GB2312" w:eastAsia="仿宋_GB2312"/>
                <w:sz w:val="24"/>
                <w:color w:val="000000"/>
              </w:rPr>
              <w:t>1.药品经营主体及产品资质监测：包括营业执照、药品经营许可证等是否齐全、有效，并在显著位置进行展示检查企业是否按照批准的经营范围经营药品，是否存在超范围经营的情况。对药品产品资质进行严格监测，确保所售药品均具备合法的药品批准文号，且信息真实、准确。</w:t>
            </w:r>
          </w:p>
          <w:p>
            <w:pPr>
              <w:pStyle w:val="null3"/>
              <w:ind w:firstLine="480"/>
              <w:jc w:val="left"/>
            </w:pPr>
            <w:r>
              <w:rPr>
                <w:rFonts w:ascii="仿宋_GB2312" w:hAnsi="仿宋_GB2312" w:cs="仿宋_GB2312" w:eastAsia="仿宋_GB2312"/>
                <w:sz w:val="24"/>
                <w:color w:val="000000"/>
              </w:rPr>
              <w:t>2.禁售药品：检查药品网络销售者是否销售国家明令禁止通过互联网销售的药品，如疫苗、血液制品、麻醉药品、精神药品、医疗用毒性药品、放射性药品、药品类易制毒化学品等国家实行特殊管理的药品。</w:t>
            </w:r>
          </w:p>
          <w:p>
            <w:pPr>
              <w:pStyle w:val="null3"/>
              <w:ind w:firstLine="480"/>
              <w:jc w:val="left"/>
            </w:pPr>
            <w:r>
              <w:rPr>
                <w:rFonts w:ascii="仿宋_GB2312" w:hAnsi="仿宋_GB2312" w:cs="仿宋_GB2312" w:eastAsia="仿宋_GB2312"/>
                <w:sz w:val="24"/>
                <w:color w:val="000000"/>
              </w:rPr>
              <w:t>2.召回药品：检查药品网络销售者是否及时召回或停止销售因存在安全隐患而被监管部门要求召回的药品。</w:t>
            </w:r>
          </w:p>
          <w:p>
            <w:pPr>
              <w:pStyle w:val="null3"/>
              <w:ind w:firstLine="480"/>
              <w:jc w:val="left"/>
            </w:pPr>
            <w:r>
              <w:rPr>
                <w:rFonts w:ascii="仿宋_GB2312" w:hAnsi="仿宋_GB2312" w:cs="仿宋_GB2312" w:eastAsia="仿宋_GB2312"/>
                <w:sz w:val="24"/>
                <w:color w:val="000000"/>
              </w:rPr>
              <w:t>3.停售药品：关注药品网络销售者是否继续销售因各种原因被监管部门要求停售的药品。</w:t>
            </w:r>
          </w:p>
          <w:p>
            <w:pPr>
              <w:pStyle w:val="null3"/>
              <w:ind w:firstLine="480"/>
              <w:jc w:val="left"/>
            </w:pPr>
            <w:r>
              <w:rPr>
                <w:rFonts w:ascii="仿宋_GB2312" w:hAnsi="仿宋_GB2312" w:cs="仿宋_GB2312" w:eastAsia="仿宋_GB2312"/>
                <w:sz w:val="24"/>
                <w:color w:val="000000"/>
              </w:rPr>
              <w:t>4.未注册药品：检查药品网络销售者是否销售未取得药品注册证书的药品，或者销售注册证书超出有效期的药品。</w:t>
            </w:r>
          </w:p>
          <w:p>
            <w:pPr>
              <w:pStyle w:val="null3"/>
              <w:ind w:firstLine="480"/>
              <w:jc w:val="left"/>
            </w:pPr>
            <w:r>
              <w:rPr>
                <w:rFonts w:ascii="仿宋_GB2312" w:hAnsi="仿宋_GB2312" w:cs="仿宋_GB2312" w:eastAsia="仿宋_GB2312"/>
                <w:sz w:val="24"/>
                <w:color w:val="000000"/>
              </w:rPr>
              <w:t>5.跨境电商：对于跨境电商平台上的药品销售，应检查其是否符合跨境电商零售进口药品的相关规定，包括是否获得跨境电商零售进口药品试点资格，是否按照要求开展药品质量安全风险监测等。</w:t>
            </w:r>
          </w:p>
          <w:p>
            <w:pPr>
              <w:pStyle w:val="null3"/>
              <w:ind w:firstLine="480"/>
              <w:jc w:val="left"/>
            </w:pPr>
            <w:r>
              <w:rPr>
                <w:rFonts w:ascii="仿宋_GB2312" w:hAnsi="仿宋_GB2312" w:cs="仿宋_GB2312" w:eastAsia="仿宋_GB2312"/>
                <w:sz w:val="24"/>
                <w:color w:val="000000"/>
              </w:rPr>
              <w:t>6.超低价销售高值药品：关注药品网络销售者是否存在以明显低于市场价的价格销售高值药品的行为。</w:t>
            </w:r>
          </w:p>
          <w:p>
            <w:pPr>
              <w:pStyle w:val="null3"/>
              <w:ind w:firstLine="480"/>
              <w:jc w:val="both"/>
            </w:pPr>
            <w:r>
              <w:rPr>
                <w:rFonts w:ascii="仿宋_GB2312" w:hAnsi="仿宋_GB2312" w:cs="仿宋_GB2312" w:eastAsia="仿宋_GB2312"/>
                <w:sz w:val="24"/>
                <w:color w:val="000000"/>
              </w:rPr>
              <w:t>7.广告与宣传监测：监测企业发布的药品广告是否真实、合法，有无夸大疗效、误导消费者的情况。检查企业是否利用互联网发布违法违规药品广告，如含有虚假宣传、绝对化用语等。</w:t>
            </w:r>
          </w:p>
          <w:p>
            <w:pPr>
              <w:pStyle w:val="null3"/>
              <w:jc w:val="left"/>
              <w:outlineLvl w:val="1"/>
            </w:pPr>
            <w:r>
              <w:rPr>
                <w:rFonts w:ascii="仿宋_GB2312" w:hAnsi="仿宋_GB2312" w:cs="仿宋_GB2312" w:eastAsia="仿宋_GB2312"/>
                <w:sz w:val="24"/>
                <w:b/>
                <w:color w:val="000000"/>
              </w:rPr>
              <w:t>（四）医疗器械监测</w:t>
            </w:r>
          </w:p>
          <w:p>
            <w:pPr>
              <w:pStyle w:val="null3"/>
              <w:ind w:firstLine="480"/>
              <w:jc w:val="both"/>
            </w:pPr>
            <w:r>
              <w:rPr>
                <w:rFonts w:ascii="仿宋_GB2312" w:hAnsi="仿宋_GB2312" w:cs="仿宋_GB2312" w:eastAsia="仿宋_GB2312"/>
                <w:sz w:val="24"/>
                <w:color w:val="000000"/>
              </w:rPr>
              <w:t>1.医疗器械经营主体及产品资质监测：核查网络销售医疗器械经营主体的营业执照、第二类医疗器械经营备案凭证、医疗器械经营许可证等资质。对医疗器械产品资质进行监测，确保所售医疗器械均具备第一类医疗器械备案凭证、医疗器械注册证等必要资质。</w:t>
            </w:r>
          </w:p>
          <w:p>
            <w:pPr>
              <w:pStyle w:val="null3"/>
              <w:ind w:firstLine="480"/>
              <w:jc w:val="both"/>
            </w:pPr>
            <w:r>
              <w:rPr>
                <w:rFonts w:ascii="仿宋_GB2312" w:hAnsi="仿宋_GB2312" w:cs="仿宋_GB2312" w:eastAsia="仿宋_GB2312"/>
                <w:sz w:val="24"/>
                <w:color w:val="000000"/>
              </w:rPr>
              <w:t>2.产品信息公示：监督销售商在产品页面上是否准确、完整地展示了医疗器械的相关信息，如产品名称、型号、规格、生产日期、有效期、生产厂家等。</w:t>
            </w:r>
          </w:p>
          <w:p>
            <w:pPr>
              <w:pStyle w:val="null3"/>
              <w:ind w:firstLine="480"/>
              <w:jc w:val="both"/>
            </w:pPr>
            <w:r>
              <w:rPr>
                <w:rFonts w:ascii="仿宋_GB2312" w:hAnsi="仿宋_GB2312" w:cs="仿宋_GB2312" w:eastAsia="仿宋_GB2312"/>
                <w:sz w:val="24"/>
                <w:color w:val="000000"/>
              </w:rPr>
              <w:t>3.销售行为监管：监测销售商是否存在虚假宣传、夸大产品功效等违规行为。监测销售未依法注册、无合格证明文件以及过期、失效、淘汰的医疗器械等违法行为。</w:t>
            </w:r>
          </w:p>
          <w:p>
            <w:pPr>
              <w:pStyle w:val="null3"/>
              <w:jc w:val="left"/>
              <w:outlineLvl w:val="1"/>
            </w:pPr>
            <w:r>
              <w:rPr>
                <w:rFonts w:ascii="仿宋_GB2312" w:hAnsi="仿宋_GB2312" w:cs="仿宋_GB2312" w:eastAsia="仿宋_GB2312"/>
                <w:sz w:val="24"/>
                <w:b/>
                <w:color w:val="000000"/>
              </w:rPr>
              <w:t>（五）化妆品监测</w:t>
            </w:r>
          </w:p>
          <w:p>
            <w:pPr>
              <w:pStyle w:val="null3"/>
              <w:ind w:firstLine="562"/>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销售未经注册或者未备案的化妆品</w:t>
            </w:r>
            <w:r>
              <w:rPr>
                <w:rFonts w:ascii="仿宋_GB2312" w:hAnsi="仿宋_GB2312" w:cs="仿宋_GB2312" w:eastAsia="仿宋_GB2312"/>
                <w:sz w:val="24"/>
                <w:color w:val="000000"/>
              </w:rPr>
              <w:t>：</w:t>
            </w:r>
          </w:p>
          <w:p>
            <w:pPr>
              <w:pStyle w:val="null3"/>
              <w:ind w:firstLine="562"/>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未经注册的特殊化妆品；</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未备案的普通化妆品；</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冒用他人化妆品注册证的化妆品；</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省级药品监督管理部门通知暂停或者停止经营的化妆品。</w:t>
            </w:r>
          </w:p>
          <w:p>
            <w:pPr>
              <w:pStyle w:val="null3"/>
              <w:ind w:firstLine="562"/>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销售违法宣称的化妆品及其</w:t>
            </w:r>
            <w:r>
              <w:rPr>
                <w:rFonts w:ascii="仿宋_GB2312" w:hAnsi="仿宋_GB2312" w:cs="仿宋_GB2312" w:eastAsia="仿宋_GB2312"/>
                <w:sz w:val="24"/>
                <w:color w:val="000000"/>
              </w:rPr>
              <w:t>发布违法广</w:t>
            </w:r>
            <w:r>
              <w:rPr>
                <w:rFonts w:ascii="仿宋_GB2312" w:hAnsi="仿宋_GB2312" w:cs="仿宋_GB2312" w:eastAsia="仿宋_GB2312"/>
                <w:sz w:val="24"/>
                <w:color w:val="000000"/>
              </w:rPr>
              <w:t>告违法行为</w:t>
            </w:r>
            <w:r>
              <w:rPr>
                <w:rFonts w:ascii="仿宋_GB2312" w:hAnsi="仿宋_GB2312" w:cs="仿宋_GB2312" w:eastAsia="仿宋_GB2312"/>
                <w:sz w:val="24"/>
                <w:color w:val="000000"/>
              </w:rPr>
              <w:t>：</w:t>
            </w:r>
          </w:p>
          <w:p>
            <w:pPr>
              <w:pStyle w:val="null3"/>
              <w:ind w:firstLine="562"/>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电子商务平台内化妆品经营者在其经营活动主页面展示的化妆品产品标签等信息是否全面、真实、准确，且与化妆品注册或者备案资料是否一致。</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化妆品产品标签及展示页面存在虚假或者引人误解的内容，明示或者暗示具有医疗作用。</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违法宣称药妆、干细胞、</w:t>
            </w:r>
            <w:r>
              <w:rPr>
                <w:rFonts w:ascii="仿宋_GB2312" w:hAnsi="仿宋_GB2312" w:cs="仿宋_GB2312" w:eastAsia="仿宋_GB2312"/>
                <w:sz w:val="24"/>
                <w:color w:val="000000"/>
              </w:rPr>
              <w:t>核酸</w:t>
            </w:r>
            <w:r>
              <w:rPr>
                <w:rFonts w:ascii="仿宋_GB2312" w:hAnsi="仿宋_GB2312" w:cs="仿宋_GB2312" w:eastAsia="仿宋_GB2312"/>
                <w:sz w:val="24"/>
                <w:color w:val="000000"/>
              </w:rPr>
              <w:t>、医学护肤品等的化妆品及广告。</w:t>
            </w:r>
          </w:p>
          <w:p>
            <w:pPr>
              <w:pStyle w:val="null3"/>
              <w:ind w:firstLine="562"/>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销售存在质量安全风险的化妆品</w:t>
            </w:r>
            <w:r>
              <w:rPr>
                <w:rFonts w:ascii="仿宋_GB2312" w:hAnsi="仿宋_GB2312" w:cs="仿宋_GB2312" w:eastAsia="仿宋_GB2312"/>
                <w:sz w:val="24"/>
                <w:color w:val="000000"/>
              </w:rPr>
              <w:t>：</w:t>
            </w:r>
            <w:r>
              <w:rPr>
                <w:rFonts w:ascii="仿宋_GB2312" w:hAnsi="仿宋_GB2312" w:cs="仿宋_GB2312" w:eastAsia="仿宋_GB2312"/>
                <w:sz w:val="24"/>
                <w:color w:val="000000"/>
              </w:rPr>
              <w:t>重点关注儿童化妆品、祛斑美白类化妆品等。</w:t>
            </w:r>
          </w:p>
          <w:p>
            <w:pPr>
              <w:pStyle w:val="null3"/>
              <w:ind w:firstLine="562"/>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非法添加可能危害人体健康物质的化妆品；</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使用禁用原料生产的化妆品；</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使用禁用原料生产的化妆品</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超范围者超限量使用限用组分生产的化妆品。</w:t>
            </w:r>
          </w:p>
          <w:p>
            <w:pPr>
              <w:pStyle w:val="null3"/>
              <w:jc w:val="left"/>
              <w:outlineLvl w:val="1"/>
            </w:pPr>
            <w:r>
              <w:rPr>
                <w:rFonts w:ascii="仿宋_GB2312" w:hAnsi="仿宋_GB2312" w:cs="仿宋_GB2312" w:eastAsia="仿宋_GB2312"/>
                <w:sz w:val="24"/>
                <w:b/>
                <w:color w:val="000000"/>
              </w:rPr>
              <w:t>（六）野生动植物监测</w:t>
            </w:r>
          </w:p>
          <w:p>
            <w:pPr>
              <w:pStyle w:val="null3"/>
              <w:ind w:firstLine="480"/>
              <w:jc w:val="left"/>
            </w:pPr>
            <w:r>
              <w:rPr>
                <w:rFonts w:ascii="仿宋_GB2312" w:hAnsi="仿宋_GB2312" w:cs="仿宋_GB2312" w:eastAsia="仿宋_GB2312"/>
                <w:sz w:val="24"/>
                <w:color w:val="000000"/>
              </w:rPr>
              <w:t>1.交</w:t>
            </w:r>
            <w:r>
              <w:rPr>
                <w:rFonts w:ascii="仿宋_GB2312" w:hAnsi="仿宋_GB2312" w:cs="仿宋_GB2312" w:eastAsia="仿宋_GB2312"/>
                <w:sz w:val="24"/>
                <w:color w:val="000000"/>
              </w:rPr>
              <w:t>易主体与平台监测</w:t>
            </w:r>
          </w:p>
          <w:p>
            <w:pPr>
              <w:pStyle w:val="null3"/>
              <w:ind w:firstLine="480"/>
              <w:jc w:val="both"/>
            </w:pPr>
            <w:r>
              <w:rPr>
                <w:rFonts w:ascii="仿宋_GB2312" w:hAnsi="仿宋_GB2312" w:cs="仿宋_GB2312" w:eastAsia="仿宋_GB2312"/>
                <w:sz w:val="24"/>
                <w:color w:val="000000"/>
              </w:rPr>
              <w:t>主体信息核电商平台（淘宝、拼多多等）、二手交易平台（闲鱼）、专业论坛及暗网等渠道的账号，识别频繁发布野生动植物相关信息、交易异常的个人或商家，重点关注昵称、简介含“珍稀</w:t>
            </w:r>
            <w:r>
              <w:rPr>
                <w:rFonts w:ascii="仿宋_GB2312" w:hAnsi="仿宋_GB2312" w:cs="仿宋_GB2312" w:eastAsia="仿宋_GB2312"/>
                <w:sz w:val="24"/>
                <w:color w:val="000000"/>
              </w:rPr>
              <w:t>”“</w:t>
            </w:r>
            <w:r>
              <w:rPr>
                <w:rFonts w:ascii="仿宋_GB2312" w:hAnsi="仿宋_GB2312" w:cs="仿宋_GB2312" w:eastAsia="仿宋_GB2312"/>
                <w:sz w:val="24"/>
                <w:color w:val="000000"/>
              </w:rPr>
              <w:t>野生</w:t>
            </w:r>
            <w:r>
              <w:rPr>
                <w:rFonts w:ascii="仿宋_GB2312" w:hAnsi="仿宋_GB2312" w:cs="仿宋_GB2312" w:eastAsia="仿宋_GB2312"/>
                <w:sz w:val="24"/>
                <w:color w:val="000000"/>
              </w:rPr>
              <w:t>”“</w:t>
            </w:r>
            <w:r>
              <w:rPr>
                <w:rFonts w:ascii="仿宋_GB2312" w:hAnsi="仿宋_GB2312" w:cs="仿宋_GB2312" w:eastAsia="仿宋_GB2312"/>
                <w:sz w:val="24"/>
                <w:color w:val="000000"/>
              </w:rPr>
              <w:t>保护动物”</w:t>
            </w:r>
            <w:r>
              <w:rPr>
                <w:rFonts w:ascii="仿宋_GB2312" w:hAnsi="仿宋_GB2312" w:cs="仿宋_GB2312" w:eastAsia="仿宋_GB2312"/>
                <w:sz w:val="24"/>
                <w:color w:val="000000"/>
              </w:rPr>
              <w:t>、</w:t>
            </w:r>
            <w:r>
              <w:rPr>
                <w:rFonts w:ascii="仿宋_GB2312" w:hAnsi="仿宋_GB2312" w:cs="仿宋_GB2312" w:eastAsia="仿宋_GB2312"/>
                <w:sz w:val="24"/>
                <w:color w:val="000000"/>
              </w:rPr>
              <w:t>野生动物名录中的动物名称</w:t>
            </w:r>
            <w:r>
              <w:rPr>
                <w:rFonts w:ascii="仿宋_GB2312" w:hAnsi="仿宋_GB2312" w:cs="仿宋_GB2312" w:eastAsia="仿宋_GB2312"/>
                <w:sz w:val="24"/>
                <w:color w:val="000000"/>
              </w:rPr>
              <w:t>等敏感词的账号。</w:t>
            </w:r>
          </w:p>
          <w:p>
            <w:pPr>
              <w:pStyle w:val="null3"/>
              <w:ind w:firstLine="480"/>
              <w:jc w:val="both"/>
            </w:pPr>
            <w:r>
              <w:rPr>
                <w:rFonts w:ascii="仿宋_GB2312" w:hAnsi="仿宋_GB2312" w:cs="仿宋_GB2312" w:eastAsia="仿宋_GB2312"/>
                <w:sz w:val="24"/>
                <w:color w:val="000000"/>
              </w:rPr>
              <w:t>检查各平台对野生动植物交易的审核规则与执行情况，如是否存在关键词屏蔽不全、活体宠物分类监管缺失，或对图片、视频中隐含交易信息筛查不足的问题。</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交易对象监测</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野生植物及制品</w:t>
            </w:r>
          </w:p>
          <w:p>
            <w:pPr>
              <w:pStyle w:val="null3"/>
              <w:ind w:firstLine="480"/>
              <w:jc w:val="both"/>
            </w:pPr>
            <w:r>
              <w:rPr>
                <w:rFonts w:ascii="仿宋_GB2312" w:hAnsi="仿宋_GB2312" w:cs="仿宋_GB2312" w:eastAsia="仿宋_GB2312"/>
                <w:sz w:val="24"/>
                <w:color w:val="000000"/>
              </w:rPr>
              <w:t>监测国家重点保护野生植物（如珙桐、银杏）、地方保护植物及其制品，包括但不限于树皮、木材（如沉香木）、种子、药材（如野生人参、石斛）；关注野生植物制成的工艺品、装饰品，如崖柏手串、野生兰花盆栽。</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野生动物及制品</w:t>
            </w:r>
          </w:p>
          <w:p>
            <w:pPr>
              <w:pStyle w:val="null3"/>
              <w:ind w:firstLine="480"/>
              <w:jc w:val="both"/>
            </w:pPr>
            <w:r>
              <w:rPr>
                <w:rFonts w:ascii="仿宋_GB2312" w:hAnsi="仿宋_GB2312" w:cs="仿宋_GB2312" w:eastAsia="仿宋_GB2312"/>
                <w:sz w:val="24"/>
                <w:color w:val="000000"/>
              </w:rPr>
              <w:t>涵盖国家重点保护野生动物（如大熊猫、穿山甲）、三有保护动物、濒危物种（如犀牛角、象牙制品），以及未经许可的活体宠物（如猫头鹰、陆龟、野生鹦鹉）；监测含野生动物成分的食品（如穿山甲鳞片、熊胆）、皮具（如鳄鱼皮制品）、标本等。</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交易行为与方式监测</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直接与隐蔽交易</w:t>
            </w:r>
          </w:p>
          <w:p>
            <w:pPr>
              <w:pStyle w:val="null3"/>
              <w:ind w:firstLine="480"/>
              <w:jc w:val="both"/>
            </w:pPr>
            <w:r>
              <w:rPr>
                <w:rFonts w:ascii="仿宋_GB2312" w:hAnsi="仿宋_GB2312" w:cs="仿宋_GB2312" w:eastAsia="仿宋_GB2312"/>
                <w:sz w:val="24"/>
                <w:color w:val="000000"/>
              </w:rPr>
              <w:t>筛查商品标题、详情页中明确的野生动植物售卖信息；识别使用暗语、谐音、代号（如“爬宠”代指蜥蜴、蛇类，“下山货”指代野生植物）或图片、视频暗示交易的行为。</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诱导线下交易</w:t>
            </w:r>
          </w:p>
          <w:p>
            <w:pPr>
              <w:pStyle w:val="null3"/>
              <w:ind w:firstLine="480"/>
              <w:jc w:val="both"/>
            </w:pPr>
            <w:r>
              <w:rPr>
                <w:rFonts w:ascii="仿宋_GB2312" w:hAnsi="仿宋_GB2312" w:cs="仿宋_GB2312" w:eastAsia="仿宋_GB2312"/>
                <w:sz w:val="24"/>
                <w:color w:val="000000"/>
              </w:rPr>
              <w:t>关注“加微信私聊”“同城自提”“货到付款”等引导脱离线上监管的话术，防止通过线下渠道完成非法交易。</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宣传与引流行为</w:t>
            </w:r>
          </w:p>
          <w:p>
            <w:pPr>
              <w:pStyle w:val="null3"/>
              <w:ind w:firstLine="480"/>
              <w:jc w:val="both"/>
            </w:pPr>
            <w:r>
              <w:rPr>
                <w:rFonts w:ascii="仿宋_GB2312" w:hAnsi="仿宋_GB2312" w:cs="仿宋_GB2312" w:eastAsia="仿宋_GB2312"/>
                <w:sz w:val="24"/>
                <w:color w:val="000000"/>
              </w:rPr>
              <w:t>监测直播、短视频、图文资讯中展示捕猎、采挖过程，或利用“养生功效”“稀缺收藏价值”虚假宣传野生动植物制品的内容。</w:t>
            </w:r>
          </w:p>
          <w:p>
            <w:pPr>
              <w:pStyle w:val="null3"/>
              <w:jc w:val="left"/>
              <w:outlineLvl w:val="1"/>
            </w:pPr>
            <w:r>
              <w:rPr>
                <w:rFonts w:ascii="仿宋_GB2312" w:hAnsi="仿宋_GB2312" w:cs="仿宋_GB2312" w:eastAsia="仿宋_GB2312"/>
                <w:sz w:val="24"/>
                <w:b/>
                <w:color w:val="000000"/>
              </w:rPr>
              <w:t>（七）</w:t>
            </w:r>
            <w:r>
              <w:rPr>
                <w:rFonts w:ascii="仿宋_GB2312" w:hAnsi="仿宋_GB2312" w:cs="仿宋_GB2312" w:eastAsia="仿宋_GB2312"/>
                <w:sz w:val="24"/>
                <w:b/>
                <w:color w:val="000000"/>
              </w:rPr>
              <w:t>知识产权</w:t>
            </w:r>
            <w:r>
              <w:rPr>
                <w:rFonts w:ascii="仿宋_GB2312" w:hAnsi="仿宋_GB2312" w:cs="仿宋_GB2312" w:eastAsia="仿宋_GB2312"/>
                <w:sz w:val="24"/>
                <w:b/>
                <w:color w:val="000000"/>
              </w:rPr>
              <w:t>监测</w:t>
            </w:r>
          </w:p>
          <w:p>
            <w:pPr>
              <w:pStyle w:val="null3"/>
              <w:jc w:val="left"/>
              <w:outlineLvl w:val="3"/>
            </w:pPr>
            <w:r>
              <w:rPr>
                <w:rFonts w:ascii="仿宋_GB2312" w:hAnsi="仿宋_GB2312" w:cs="仿宋_GB2312" w:eastAsia="仿宋_GB2312"/>
                <w:sz w:val="24"/>
                <w:b/>
                <w:color w:val="000000"/>
              </w:rPr>
              <w:t>1.专利行为主题</w:t>
            </w:r>
            <w:r>
              <w:rPr>
                <w:rFonts w:ascii="仿宋_GB2312" w:hAnsi="仿宋_GB2312" w:cs="仿宋_GB2312" w:eastAsia="仿宋_GB2312"/>
                <w:sz w:val="24"/>
                <w:b/>
                <w:color w:val="000000"/>
              </w:rPr>
              <w:t>监测</w:t>
            </w:r>
          </w:p>
          <w:p>
            <w:pPr>
              <w:pStyle w:val="null3"/>
              <w:ind w:firstLine="480"/>
              <w:jc w:val="both"/>
            </w:pPr>
            <w:r>
              <w:rPr>
                <w:rFonts w:ascii="仿宋_GB2312" w:hAnsi="仿宋_GB2312" w:cs="仿宋_GB2312" w:eastAsia="仿宋_GB2312"/>
                <w:sz w:val="24"/>
                <w:color w:val="000000"/>
              </w:rPr>
              <w:t>针对网络销售商品专利行为的监测，主要应包含以下几个方面：</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专利真实性验证</w:t>
            </w:r>
          </w:p>
          <w:p>
            <w:pPr>
              <w:pStyle w:val="null3"/>
              <w:ind w:firstLine="480"/>
              <w:jc w:val="both"/>
            </w:pPr>
            <w:r>
              <w:rPr>
                <w:rFonts w:ascii="仿宋_GB2312" w:hAnsi="仿宋_GB2312" w:cs="仿宋_GB2312" w:eastAsia="仿宋_GB2312"/>
                <w:sz w:val="24"/>
                <w:color w:val="000000"/>
              </w:rPr>
              <w:t>核实商品所标注的专利号、专利名称、专利权人等信息是否真实存在。通过专利查询系统，如国家知识产权局的官方网站或其他可靠的专利数据库，检查专利信息的有效性。</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专利有效性检查</w:t>
            </w:r>
          </w:p>
          <w:p>
            <w:pPr>
              <w:pStyle w:val="null3"/>
              <w:ind w:firstLine="480"/>
              <w:jc w:val="both"/>
            </w:pPr>
            <w:r>
              <w:rPr>
                <w:rFonts w:ascii="仿宋_GB2312" w:hAnsi="仿宋_GB2312" w:cs="仿宋_GB2312" w:eastAsia="仿宋_GB2312"/>
                <w:sz w:val="24"/>
                <w:color w:val="000000"/>
              </w:rPr>
              <w:t>检查专利是否已过期、被撤销或无效。</w:t>
            </w:r>
          </w:p>
          <w:p>
            <w:pPr>
              <w:pStyle w:val="null3"/>
              <w:ind w:firstLine="480"/>
              <w:jc w:val="both"/>
            </w:pPr>
            <w:r>
              <w:rPr>
                <w:rFonts w:ascii="仿宋_GB2312" w:hAnsi="仿宋_GB2312" w:cs="仿宋_GB2312" w:eastAsia="仿宋_GB2312"/>
                <w:sz w:val="24"/>
                <w:color w:val="000000"/>
              </w:rPr>
              <w:t>确认专利的保护范围是否包括该商品，即商品是否真正属于该专利的保护范围。</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专利使用许可核查</w:t>
            </w:r>
          </w:p>
          <w:p>
            <w:pPr>
              <w:pStyle w:val="null3"/>
              <w:ind w:firstLine="480"/>
              <w:jc w:val="both"/>
            </w:pPr>
            <w:r>
              <w:rPr>
                <w:rFonts w:ascii="仿宋_GB2312" w:hAnsi="仿宋_GB2312" w:cs="仿宋_GB2312" w:eastAsia="仿宋_GB2312"/>
                <w:sz w:val="24"/>
                <w:color w:val="000000"/>
              </w:rPr>
              <w:t>如果商品标注的专利是由第三方持有的，需要核实销售方是否获得了合法的专利使用许可。检查销售方是否提供了必要的许可证明文件或协议。</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虚标专利的识别</w:t>
            </w:r>
          </w:p>
          <w:p>
            <w:pPr>
              <w:pStyle w:val="null3"/>
              <w:ind w:firstLine="480"/>
              <w:jc w:val="both"/>
            </w:pPr>
            <w:r>
              <w:rPr>
                <w:rFonts w:ascii="仿宋_GB2312" w:hAnsi="仿宋_GB2312" w:cs="仿宋_GB2312" w:eastAsia="仿宋_GB2312"/>
                <w:sz w:val="24"/>
                <w:color w:val="000000"/>
              </w:rPr>
              <w:t>监测是否存在未获得专利或专利已过期，但商品仍标注为“专利产品”的情况。识别并打击故意使用虚假专利信息误导消费者的行为。</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专利侵权监测</w:t>
            </w:r>
          </w:p>
          <w:p>
            <w:pPr>
              <w:pStyle w:val="null3"/>
              <w:ind w:firstLine="480"/>
              <w:jc w:val="both"/>
            </w:pPr>
            <w:r>
              <w:rPr>
                <w:rFonts w:ascii="仿宋_GB2312" w:hAnsi="仿宋_GB2312" w:cs="仿宋_GB2312" w:eastAsia="仿宋_GB2312"/>
                <w:sz w:val="24"/>
                <w:color w:val="000000"/>
              </w:rPr>
              <w:t>检查销售的商品是否侵犯了他人的专利权。监测是否存在未经专利权人许可，擅自使用其专利技术的行为。</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广告宣传合规性</w:t>
            </w:r>
          </w:p>
          <w:p>
            <w:pPr>
              <w:pStyle w:val="null3"/>
              <w:ind w:firstLine="480"/>
              <w:jc w:val="both"/>
            </w:pPr>
            <w:r>
              <w:rPr>
                <w:rFonts w:ascii="仿宋_GB2312" w:hAnsi="仿宋_GB2312" w:cs="仿宋_GB2312" w:eastAsia="仿宋_GB2312"/>
                <w:sz w:val="24"/>
                <w:color w:val="000000"/>
              </w:rPr>
              <w:t>核实商品在广告宣传中是否使用了符合专利法规的表述，如“专利保护”“专利技术”等。</w:t>
            </w:r>
          </w:p>
          <w:p>
            <w:pPr>
              <w:pStyle w:val="null3"/>
              <w:jc w:val="both"/>
            </w:pPr>
            <w:r>
              <w:rPr>
                <w:rFonts w:ascii="仿宋_GB2312" w:hAnsi="仿宋_GB2312" w:cs="仿宋_GB2312" w:eastAsia="仿宋_GB2312"/>
                <w:sz w:val="24"/>
                <w:color w:val="000000"/>
              </w:rPr>
              <w:t>禁止使用误导性或夸大其词的宣传语言。</w:t>
            </w:r>
          </w:p>
          <w:p>
            <w:pPr>
              <w:pStyle w:val="null3"/>
              <w:jc w:val="left"/>
              <w:outlineLvl w:val="3"/>
            </w:pPr>
            <w:r>
              <w:rPr>
                <w:rFonts w:ascii="仿宋_GB2312" w:hAnsi="仿宋_GB2312" w:cs="仿宋_GB2312" w:eastAsia="仿宋_GB2312"/>
                <w:sz w:val="24"/>
                <w:b/>
                <w:color w:val="000000"/>
              </w:rPr>
              <w:t>2.商标侵权监测</w:t>
            </w:r>
          </w:p>
          <w:p>
            <w:pPr>
              <w:pStyle w:val="null3"/>
              <w:ind w:firstLine="480"/>
              <w:jc w:val="both"/>
            </w:pPr>
            <w:r>
              <w:rPr>
                <w:rFonts w:ascii="仿宋_GB2312" w:hAnsi="仿宋_GB2312" w:cs="仿宋_GB2312" w:eastAsia="仿宋_GB2312"/>
                <w:sz w:val="24"/>
                <w:color w:val="000000"/>
              </w:rPr>
              <w:t>商标侵权监测主要围绕“冒用商标”和“傍名牌”两类典型侵权行为展开，旨在维护商标注册人的专用权及消费者的识别权，具体监测内容如下：</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冒用商标监测</w:t>
            </w:r>
          </w:p>
          <w:p>
            <w:pPr>
              <w:pStyle w:val="null3"/>
              <w:ind w:firstLine="480"/>
              <w:jc w:val="both"/>
            </w:pPr>
            <w:r>
              <w:rPr>
                <w:rFonts w:ascii="仿宋_GB2312" w:hAnsi="仿宋_GB2312" w:cs="仿宋_GB2312" w:eastAsia="仿宋_GB2312"/>
                <w:sz w:val="24"/>
                <w:color w:val="000000"/>
              </w:rPr>
              <w:t>商标标识一致性核查：对比网络销售商品的商标图案、文字、字母、数字等标识，与注册商标的视觉外观、读音、含义是否完全一致或高度近似（如改变字体、颜色但核心识别元素不变）。</w:t>
            </w:r>
          </w:p>
          <w:p>
            <w:pPr>
              <w:pStyle w:val="null3"/>
              <w:ind w:firstLine="480"/>
              <w:jc w:val="both"/>
            </w:pPr>
            <w:r>
              <w:rPr>
                <w:rFonts w:ascii="仿宋_GB2312" w:hAnsi="仿宋_GB2312" w:cs="仿宋_GB2312" w:eastAsia="仿宋_GB2312"/>
                <w:sz w:val="24"/>
                <w:color w:val="000000"/>
              </w:rPr>
              <w:t>商品/服务类别关联性判断：确认侵权商品所属类别是否与注册商标核定使用的类别相同或类似（参考《类似商品和服务区分表》）。</w:t>
            </w:r>
          </w:p>
          <w:p>
            <w:pPr>
              <w:pStyle w:val="null3"/>
              <w:ind w:firstLine="480"/>
              <w:jc w:val="both"/>
            </w:pPr>
            <w:r>
              <w:rPr>
                <w:rFonts w:ascii="仿宋_GB2312" w:hAnsi="仿宋_GB2312" w:cs="仿宋_GB2312" w:eastAsia="仿宋_GB2312"/>
                <w:sz w:val="24"/>
                <w:color w:val="000000"/>
              </w:rPr>
              <w:t>销售主体资质验证：核查销售方是否提供商标注册证、许可使用协议等合法授权文件，重点监测无授权商家擅自使用他人商标的行为。</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傍名牌监测</w:t>
            </w:r>
          </w:p>
          <w:p>
            <w:pPr>
              <w:pStyle w:val="null3"/>
              <w:ind w:firstLine="480"/>
              <w:jc w:val="both"/>
            </w:pPr>
            <w:r>
              <w:rPr>
                <w:rFonts w:ascii="仿宋_GB2312" w:hAnsi="仿宋_GB2312" w:cs="仿宋_GB2312" w:eastAsia="仿宋_GB2312"/>
                <w:sz w:val="24"/>
                <w:color w:val="000000"/>
              </w:rPr>
              <w:t>商标近似性分析：识别“山寨”商标的常见手段，如：字形近似：“康师傅”与“康帅傅”“廉师傅”；读音近似：“娃哈哈”与“娃娃哈”“洼哈哈”；含义关联：注册“乡村基”商标后，在餐饮服务中使用“乡村基快餐”，攀附“肯德基”商誉。</w:t>
            </w:r>
          </w:p>
          <w:p>
            <w:pPr>
              <w:pStyle w:val="null3"/>
              <w:ind w:firstLine="480"/>
              <w:jc w:val="both"/>
            </w:pPr>
            <w:r>
              <w:rPr>
                <w:rFonts w:ascii="仿宋_GB2312" w:hAnsi="仿宋_GB2312" w:cs="仿宋_GB2312" w:eastAsia="仿宋_GB2312"/>
                <w:sz w:val="24"/>
                <w:color w:val="000000"/>
              </w:rPr>
              <w:t>包装装潢模仿监测：对比商品的整体外观、色彩搭配、图案设计、字体风格等，是否与知名商品的特有包装装潢高度相似，足以引发消费者误认。</w:t>
            </w:r>
          </w:p>
          <w:p>
            <w:pPr>
              <w:pStyle w:val="null3"/>
              <w:ind w:firstLine="480"/>
              <w:jc w:val="both"/>
            </w:pPr>
            <w:r>
              <w:rPr>
                <w:rFonts w:ascii="仿宋_GB2312" w:hAnsi="仿宋_GB2312" w:cs="仿宋_GB2312" w:eastAsia="仿宋_GB2312"/>
                <w:sz w:val="24"/>
                <w:color w:val="000000"/>
              </w:rPr>
              <w:t>企业字号与商标的冲突排查：监测商家营业执照中的企业名称（字号）是否故意使用与他人注册商标相同或近似的文字，尤其是知名商标（如“小米”公司与“小禾”商标的混淆风险）。</w:t>
            </w:r>
          </w:p>
          <w:p>
            <w:pPr>
              <w:pStyle w:val="null3"/>
              <w:jc w:val="left"/>
              <w:outlineLvl w:val="3"/>
            </w:pPr>
            <w:r>
              <w:rPr>
                <w:rFonts w:ascii="仿宋_GB2312" w:hAnsi="仿宋_GB2312" w:cs="仿宋_GB2312" w:eastAsia="仿宋_GB2312"/>
                <w:sz w:val="24"/>
                <w:b/>
                <w:color w:val="000000"/>
              </w:rPr>
              <w:t>3.地理标志使用监测</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未经授权使用地理标志商标名称与图形</w:t>
            </w:r>
          </w:p>
          <w:p>
            <w:pPr>
              <w:pStyle w:val="null3"/>
              <w:ind w:firstLine="480"/>
              <w:jc w:val="both"/>
            </w:pPr>
            <w:r>
              <w:rPr>
                <w:rFonts w:ascii="仿宋_GB2312" w:hAnsi="仿宋_GB2312" w:cs="仿宋_GB2312" w:eastAsia="仿宋_GB2312"/>
                <w:sz w:val="24"/>
                <w:color w:val="000000"/>
              </w:rPr>
              <w:t>商标要素侵权识别：核查商品是否擅自使用地理标志的文字名称（如“五常大米”）或图形标识（如官方认证的地理标志图案），且未获得地理标志注册人或管理机构的许可。</w:t>
            </w:r>
          </w:p>
          <w:p>
            <w:pPr>
              <w:pStyle w:val="null3"/>
              <w:ind w:firstLine="480"/>
              <w:jc w:val="both"/>
            </w:pPr>
            <w:r>
              <w:rPr>
                <w:rFonts w:ascii="仿宋_GB2312" w:hAnsi="仿宋_GB2312" w:cs="仿宋_GB2312" w:eastAsia="仿宋_GB2312"/>
                <w:sz w:val="24"/>
                <w:color w:val="000000"/>
              </w:rPr>
              <w:t>产地真实性核验：通过商品详情页描述、生产地址、供应链信息等，确认商品实际来源是否与地理标志所标示的地区一致。</w:t>
            </w:r>
          </w:p>
          <w:p>
            <w:pPr>
              <w:pStyle w:val="null3"/>
              <w:ind w:firstLine="480"/>
              <w:jc w:val="both"/>
            </w:pPr>
            <w:r>
              <w:rPr>
                <w:rFonts w:ascii="仿宋_GB2312" w:hAnsi="仿宋_GB2312" w:cs="仿宋_GB2312" w:eastAsia="仿宋_GB2312"/>
                <w:sz w:val="24"/>
                <w:color w:val="000000"/>
              </w:rPr>
              <w:t>合规使用范围界定：地理标志通常仅限该产区内符合特定标准的生产主体使用，监测非产区企业或不符合质量要求的商家滥用地理标志的行为。</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冒用地理标志商标名称</w:t>
            </w:r>
          </w:p>
          <w:p>
            <w:pPr>
              <w:pStyle w:val="null3"/>
              <w:ind w:firstLine="480"/>
              <w:jc w:val="both"/>
            </w:pPr>
            <w:r>
              <w:rPr>
                <w:rFonts w:ascii="仿宋_GB2312" w:hAnsi="仿宋_GB2312" w:cs="仿宋_GB2312" w:eastAsia="仿宋_GB2312"/>
                <w:sz w:val="24"/>
                <w:color w:val="000000"/>
              </w:rPr>
              <w:t>虚假宣传与误导性表述：排查商品标题、描述中是否使用“XX产地直供”“正宗XX”等字样，但实际无产地关联或未通过地理标志认证。</w:t>
            </w:r>
          </w:p>
          <w:p>
            <w:pPr>
              <w:pStyle w:val="null3"/>
              <w:ind w:firstLine="480"/>
              <w:jc w:val="both"/>
            </w:pPr>
            <w:r>
              <w:rPr>
                <w:rFonts w:ascii="仿宋_GB2312" w:hAnsi="仿宋_GB2312" w:cs="仿宋_GB2312" w:eastAsia="仿宋_GB2312"/>
                <w:sz w:val="24"/>
                <w:color w:val="000000"/>
              </w:rPr>
              <w:t>搭便车行为打击：监测非地理标志商品使用与地理标志近似的名称或修饰词，攀附其声誉（如“云南小粒咖啡”作为通用名称时合法，但故意突出“小粒”误导消费者关联特定地理标志则可能侵权）。</w:t>
            </w:r>
          </w:p>
          <w:p>
            <w:pPr>
              <w:pStyle w:val="null3"/>
              <w:ind w:firstLine="480"/>
              <w:jc w:val="both"/>
            </w:pPr>
            <w:r>
              <w:rPr>
                <w:rFonts w:ascii="仿宋_GB2312" w:hAnsi="仿宋_GB2312" w:cs="仿宋_GB2312" w:eastAsia="仿宋_GB2312"/>
                <w:sz w:val="24"/>
                <w:color w:val="000000"/>
              </w:rPr>
              <w:t>组合商标的合规性审查：若商家将地理标志名称与其他元素组合为新商标（如“XX牌五常大米”），需确认是否获得地理标志授权，且整体标识不致混淆消费者对产地的认知。</w:t>
            </w:r>
          </w:p>
          <w:p>
            <w:pPr>
              <w:pStyle w:val="null3"/>
              <w:ind w:firstLine="482"/>
              <w:jc w:val="both"/>
            </w:pPr>
            <w:r>
              <w:rPr>
                <w:rFonts w:ascii="仿宋_GB2312" w:hAnsi="仿宋_GB2312" w:cs="仿宋_GB2312" w:eastAsia="仿宋_GB2312"/>
                <w:sz w:val="24"/>
                <w:b/>
                <w:color w:val="000000"/>
              </w:rPr>
              <w:t>四、监测数据及成果交付要求</w:t>
            </w:r>
          </w:p>
          <w:p>
            <w:pPr>
              <w:pStyle w:val="null3"/>
              <w:ind w:firstLine="482"/>
              <w:jc w:val="both"/>
            </w:pPr>
            <w:r>
              <w:rPr>
                <w:rFonts w:ascii="仿宋_GB2312" w:hAnsi="仿宋_GB2312" w:cs="仿宋_GB2312" w:eastAsia="仿宋_GB2312"/>
                <w:sz w:val="24"/>
                <w:b/>
                <w:color w:val="000000"/>
              </w:rPr>
              <w:t>（一）交付内容：</w:t>
            </w:r>
            <w:r>
              <w:rPr>
                <w:rFonts w:ascii="仿宋_GB2312" w:hAnsi="仿宋_GB2312" w:cs="仿宋_GB2312" w:eastAsia="仿宋_GB2312"/>
                <w:sz w:val="24"/>
                <w:color w:val="000000"/>
              </w:rPr>
              <w:t>监测数据与成果交付按周交付网络交易监测简报，按月交付月度运行分析报告，按季度交付季度市场态势综合分析报告，年末交付年度全市网络交易市场发展白皮书。</w:t>
            </w:r>
          </w:p>
          <w:p>
            <w:pPr>
              <w:pStyle w:val="null3"/>
              <w:ind w:firstLine="482"/>
              <w:jc w:val="both"/>
            </w:pPr>
            <w:r>
              <w:rPr>
                <w:rFonts w:ascii="仿宋_GB2312" w:hAnsi="仿宋_GB2312" w:cs="仿宋_GB2312" w:eastAsia="仿宋_GB2312"/>
                <w:sz w:val="24"/>
                <w:b/>
                <w:color w:val="000000"/>
              </w:rPr>
              <w:t>（二）交付形式：</w:t>
            </w:r>
            <w:r>
              <w:rPr>
                <w:rFonts w:ascii="仿宋_GB2312" w:hAnsi="仿宋_GB2312" w:cs="仿宋_GB2312" w:eastAsia="仿宋_GB2312"/>
                <w:sz w:val="24"/>
                <w:color w:val="000000"/>
              </w:rPr>
              <w:t>数据线索采用交付Excel表格，数据分析报告交付Word版本与PDF版本，</w:t>
            </w:r>
          </w:p>
          <w:p>
            <w:pPr>
              <w:pStyle w:val="null3"/>
              <w:ind w:firstLine="482"/>
              <w:jc w:val="both"/>
            </w:pPr>
            <w:r>
              <w:rPr>
                <w:rFonts w:ascii="仿宋_GB2312" w:hAnsi="仿宋_GB2312" w:cs="仿宋_GB2312" w:eastAsia="仿宋_GB2312"/>
                <w:sz w:val="24"/>
                <w:b/>
                <w:color w:val="000000"/>
              </w:rPr>
              <w:t>（三）报告内容：</w:t>
            </w:r>
            <w:r>
              <w:rPr>
                <w:rFonts w:ascii="仿宋_GB2312" w:hAnsi="仿宋_GB2312" w:cs="仿宋_GB2312" w:eastAsia="仿宋_GB2312"/>
                <w:sz w:val="24"/>
                <w:color w:val="000000"/>
              </w:rPr>
              <w:t>所有报告需结合本地产业实际，明确标注监测监测内容、监测数据概况、典型案例、问题分析、分布区域分布、平台分布、建议对策等内容。</w:t>
            </w:r>
          </w:p>
          <w:p>
            <w:pPr>
              <w:pStyle w:val="null3"/>
              <w:jc w:val="left"/>
              <w:outlineLvl w:val="0"/>
            </w:pPr>
            <w:r>
              <w:rPr>
                <w:rFonts w:ascii="仿宋_GB2312" w:hAnsi="仿宋_GB2312" w:cs="仿宋_GB2312" w:eastAsia="仿宋_GB2312"/>
                <w:sz w:val="24"/>
                <w:b/>
                <w:color w:val="000000"/>
              </w:rPr>
              <w:t>五、信息保密要求</w:t>
            </w:r>
          </w:p>
          <w:p>
            <w:pPr>
              <w:pStyle w:val="null3"/>
              <w:ind w:firstLine="480"/>
              <w:jc w:val="both"/>
            </w:pPr>
            <w:r>
              <w:rPr>
                <w:rFonts w:ascii="仿宋_GB2312" w:hAnsi="仿宋_GB2312" w:cs="仿宋_GB2312" w:eastAsia="仿宋_GB2312"/>
                <w:sz w:val="24"/>
                <w:color w:val="000000"/>
              </w:rPr>
              <w:t>（一）供应商需严格遵守国家数据安全相关法律法规，所有采集获取的本市网络交易数据仅可用于本项目服务用途，不得向任何第三方泄露、转售，项目服务周期结束后需按要求完成所有本地数据的脱敏留存或销毁。</w:t>
            </w:r>
          </w:p>
          <w:p>
            <w:pPr>
              <w:pStyle w:val="null3"/>
              <w:ind w:firstLine="480"/>
              <w:jc w:val="both"/>
            </w:pPr>
            <w:r>
              <w:rPr>
                <w:rFonts w:ascii="仿宋_GB2312" w:hAnsi="仿宋_GB2312" w:cs="仿宋_GB2312" w:eastAsia="仿宋_GB2312"/>
                <w:sz w:val="24"/>
                <w:color w:val="000000"/>
              </w:rPr>
              <w:t>（二）本项目所有交付成果的知识产权全部归采购人所有，供应商不得擅自使用或对外发布相关内容。</w:t>
            </w:r>
          </w:p>
          <w:p>
            <w:pPr>
              <w:pStyle w:val="null3"/>
              <w:ind w:firstLine="482"/>
              <w:jc w:val="both"/>
            </w:pPr>
            <w:r>
              <w:rPr>
                <w:rFonts w:ascii="仿宋_GB2312" w:hAnsi="仿宋_GB2312" w:cs="仿宋_GB2312" w:eastAsia="仿宋_GB2312"/>
                <w:sz w:val="24"/>
                <w:b/>
                <w:color w:val="000000"/>
              </w:rPr>
              <w:t>六、服务要求</w:t>
            </w:r>
          </w:p>
          <w:p>
            <w:pPr>
              <w:pStyle w:val="null3"/>
              <w:ind w:firstLine="482"/>
              <w:jc w:val="both"/>
            </w:pPr>
            <w:r>
              <w:rPr>
                <w:rFonts w:ascii="仿宋_GB2312" w:hAnsi="仿宋_GB2312" w:cs="仿宋_GB2312" w:eastAsia="仿宋_GB2312"/>
                <w:sz w:val="24"/>
                <w:b/>
                <w:color w:val="000000"/>
              </w:rPr>
              <w:t>（一）主体名录覆盖率：</w:t>
            </w:r>
            <w:r>
              <w:rPr>
                <w:rFonts w:ascii="仿宋_GB2312" w:hAnsi="仿宋_GB2312" w:cs="仿宋_GB2312" w:eastAsia="仿宋_GB2312"/>
                <w:sz w:val="24"/>
                <w:color w:val="000000"/>
              </w:rPr>
              <w:t>全市网络交易主体摸排覆盖率不低于95%，数据信息准确率不低于98%，每季度更新延迟不超过7个工作日。</w:t>
            </w:r>
          </w:p>
          <w:p>
            <w:pPr>
              <w:pStyle w:val="null3"/>
              <w:ind w:firstLine="482"/>
              <w:jc w:val="both"/>
            </w:pPr>
            <w:r>
              <w:rPr>
                <w:rFonts w:ascii="仿宋_GB2312" w:hAnsi="仿宋_GB2312" w:cs="仿宋_GB2312" w:eastAsia="仿宋_GB2312"/>
                <w:sz w:val="24"/>
                <w:b/>
                <w:color w:val="000000"/>
              </w:rPr>
              <w:t>（二）线索有效率：</w:t>
            </w:r>
            <w:r>
              <w:rPr>
                <w:rFonts w:ascii="仿宋_GB2312" w:hAnsi="仿宋_GB2312" w:cs="仿宋_GB2312" w:eastAsia="仿宋_GB2312"/>
                <w:sz w:val="24"/>
                <w:color w:val="000000"/>
              </w:rPr>
              <w:t>交付的违法违规线索经采购人核验，有效率不低于85%，线索需明确标注违规点位、违规内容、取证路径，具备可落地核查性。</w:t>
            </w:r>
          </w:p>
          <w:p>
            <w:pPr>
              <w:pStyle w:val="null3"/>
              <w:ind w:firstLine="482"/>
              <w:jc w:val="both"/>
            </w:pPr>
            <w:r>
              <w:rPr>
                <w:rFonts w:ascii="仿宋_GB2312" w:hAnsi="仿宋_GB2312" w:cs="仿宋_GB2312" w:eastAsia="仿宋_GB2312"/>
                <w:sz w:val="24"/>
                <w:b/>
                <w:color w:val="000000"/>
              </w:rPr>
              <w:t>（三）报告交付时效：</w:t>
            </w:r>
            <w:r>
              <w:rPr>
                <w:rFonts w:ascii="仿宋_GB2312" w:hAnsi="仿宋_GB2312" w:cs="仿宋_GB2312" w:eastAsia="仿宋_GB2312"/>
                <w:sz w:val="24"/>
                <w:color w:val="000000"/>
              </w:rPr>
              <w:t>各类定期报告需在对应周期结束后5个工作日内完成交付，重大专项监测任务需按采购人指定的时限完成成果反馈。</w:t>
            </w:r>
          </w:p>
          <w:p>
            <w:pPr>
              <w:pStyle w:val="null3"/>
              <w:ind w:firstLine="482"/>
              <w:jc w:val="both"/>
            </w:pPr>
            <w:r>
              <w:rPr>
                <w:rFonts w:ascii="仿宋_GB2312" w:hAnsi="仿宋_GB2312" w:cs="仿宋_GB2312" w:eastAsia="仿宋_GB2312"/>
                <w:sz w:val="24"/>
                <w:b/>
                <w:color w:val="000000"/>
              </w:rPr>
              <w:t>七、服务周期</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4"/>
                <w:color w:val="000000"/>
              </w:rPr>
              <w:t>本项目服务周期  1  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符合采购文件、响应文件和合同文件相关考核验收标准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预付款，合同签订后（支付金额不超过21万元），达到付款条件起10个工作日内，支付合同总金额的60.0%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进度款，服务期满验收合格后，达到付款条件起10个工作日内，支付合同总金额的40.0%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2.供应商需要在线提交所有通过电子化交易平台实施的政府采购项目的投标文件，同时，中标供应商须在发布中标公告后线下提交投标文件正本壹份、副本贰份。 线下提交投标文件地点：西安市高新区唐延路旺座现代城 C 座 25 楼 2502室 ；联系电话：029-88319689转8006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12、《关于在政府采购中实施本国产品标准及相关政策的通知》（国办发〔2025〕34号）。13、其他需要落实的政府采购政策；</w:t>
            </w:r>
          </w:p>
        </w:tc>
        <w:tc>
          <w:tcPr>
            <w:tcW w:type="dxa" w:w="1661"/>
          </w:tcPr>
          <w:p>
            <w:pPr>
              <w:pStyle w:val="null3"/>
            </w:pPr>
            <w:r>
              <w:rPr>
                <w:rFonts w:ascii="仿宋_GB2312" w:hAnsi="仿宋_GB2312" w:cs="仿宋_GB2312" w:eastAsia="仿宋_GB2312"/>
              </w:rPr>
              <w:t>中小企业声明函 残疾人福利性单位声明函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2供应商资格证明资料-中小.docx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2供应商资格证明资料-中小.docx 9.供应商业绩一览表.docx 1分项报价表.docx 中小企业声明函 标的清单 3.商务和服务响应偏离表.docx 响应函 10.供应商承诺书.docx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未与磋商文件商务要求条款不一致或未增加采购人难以接受的条款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10.供应商承诺书.docx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根据供应商提供的项目分析进行评审，包括：①对项目的认识分析；②需求响应及分析；③对项目重难点分析； 上述3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6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4项目需求分析及数据采集方案.docx</w:t>
            </w:r>
          </w:p>
        </w:tc>
      </w:tr>
      <w:tr>
        <w:tc>
          <w:tcPr>
            <w:tcW w:type="dxa" w:w="831"/>
            <w:vMerge/>
          </w:tcPr>
          <w:p/>
        </w:tc>
        <w:tc>
          <w:tcPr>
            <w:tcW w:type="dxa" w:w="1661"/>
          </w:tcPr>
          <w:p>
            <w:pPr>
              <w:pStyle w:val="null3"/>
            </w:pPr>
            <w:r>
              <w:rPr>
                <w:rFonts w:ascii="仿宋_GB2312" w:hAnsi="仿宋_GB2312" w:cs="仿宋_GB2312" w:eastAsia="仿宋_GB2312"/>
              </w:rPr>
              <w:t>数据采集方案</w:t>
            </w:r>
          </w:p>
        </w:tc>
        <w:tc>
          <w:tcPr>
            <w:tcW w:type="dxa" w:w="2492"/>
          </w:tcPr>
          <w:p>
            <w:pPr>
              <w:pStyle w:val="null3"/>
            </w:pPr>
            <w:r>
              <w:rPr>
                <w:rFonts w:ascii="仿宋_GB2312" w:hAnsi="仿宋_GB2312" w:cs="仿宋_GB2312" w:eastAsia="仿宋_GB2312"/>
              </w:rPr>
              <w:t>供应商提供的数据采集方案应覆盖西安市网络经营市场中的主体、客体等所有数据类型，明确数据来源、采集方式、归集流程，适配西安本地市场监管场景；从（1）数据类型（2）数据来源（3）采集方式（4）归集流程等方面进行评审； 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12分，每缺少一项内容扣3分，扣完为止；单项内容每存在一处缺陷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4项目需求分析及数据采集方案.docx</w:t>
            </w:r>
          </w:p>
        </w:tc>
      </w:tr>
      <w:tr>
        <w:tc>
          <w:tcPr>
            <w:tcW w:type="dxa" w:w="831"/>
            <w:vMerge/>
          </w:tcPr>
          <w:p/>
        </w:tc>
        <w:tc>
          <w:tcPr>
            <w:tcW w:type="dxa" w:w="1661"/>
          </w:tcPr>
          <w:p>
            <w:pPr>
              <w:pStyle w:val="null3"/>
            </w:pPr>
            <w:r>
              <w:rPr>
                <w:rFonts w:ascii="仿宋_GB2312" w:hAnsi="仿宋_GB2312" w:cs="仿宋_GB2312" w:eastAsia="仿宋_GB2312"/>
              </w:rPr>
              <w:t>违法识别与监测方案</w:t>
            </w:r>
          </w:p>
        </w:tc>
        <w:tc>
          <w:tcPr>
            <w:tcW w:type="dxa" w:w="2492"/>
          </w:tcPr>
          <w:p>
            <w:pPr>
              <w:pStyle w:val="null3"/>
            </w:pPr>
            <w:r>
              <w:rPr>
                <w:rFonts w:ascii="仿宋_GB2312" w:hAnsi="仿宋_GB2312" w:cs="仿宋_GB2312" w:eastAsia="仿宋_GB2312"/>
              </w:rPr>
              <w:t>供应商应对常态化监测与日常监测中必须要覆盖的违法违规类型搭建智能监测模型、识别相关违法违规行为，针对重点监测任务出具符合要求的、完善的监测方案。从（1）违法违规类型覆盖及行为识别（2）智能监测模型搭建（3）重点监测方案等方面进行评审； 上述3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9分，每缺少一项内容扣3分，扣完为止；单项内容每存在一处缺陷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5.违法识别与监测方案和数据安全方案.docx</w:t>
            </w:r>
          </w:p>
        </w:tc>
      </w:tr>
      <w:tr>
        <w:tc>
          <w:tcPr>
            <w:tcW w:type="dxa" w:w="831"/>
            <w:vMerge/>
          </w:tcPr>
          <w:p/>
        </w:tc>
        <w:tc>
          <w:tcPr>
            <w:tcW w:type="dxa" w:w="1661"/>
          </w:tcPr>
          <w:p>
            <w:pPr>
              <w:pStyle w:val="null3"/>
            </w:pPr>
            <w:r>
              <w:rPr>
                <w:rFonts w:ascii="仿宋_GB2312" w:hAnsi="仿宋_GB2312" w:cs="仿宋_GB2312" w:eastAsia="仿宋_GB2312"/>
              </w:rPr>
              <w:t>数据安全方案</w:t>
            </w:r>
          </w:p>
        </w:tc>
        <w:tc>
          <w:tcPr>
            <w:tcW w:type="dxa" w:w="2492"/>
          </w:tcPr>
          <w:p>
            <w:pPr>
              <w:pStyle w:val="null3"/>
            </w:pPr>
            <w:r>
              <w:rPr>
                <w:rFonts w:ascii="仿宋_GB2312" w:hAnsi="仿宋_GB2312" w:cs="仿宋_GB2312" w:eastAsia="仿宋_GB2312"/>
              </w:rPr>
              <w:t>供应商提供的数据安全方案应契合《数据安全法》《个人信息保护法》等法规要求，涵盖数据传输、存储、使用、备份、脱敏、审计、应急处置等全流程安全措施及防护体系；从（1）数据的合规处理（2）全流程的安全措施覆盖（3）防护体系的建立等方面进行评审； 上述3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6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5.违法识别与监测方案和数据安全方案.docx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1.建立覆盖数据采集、清洗、入库、应用全生命周期的质量核查机制，得2分； 2.书面承诺项目交付后数据完整率≥90%，得2分； 3.书面承诺项目交付后数据准确率≥95.5%，得2分； 4.明确每月不少于1次的常态化质量核查频次，得2分； 5.建立完整的问题溯源、整改、复核闭环流程，得2分。缺任意一项对应分值不得分。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6.质量保障和服务响应承诺.docx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1.书面承诺项目初始化建设周期严格控制在30日历天内，明确周期性数据更新的全流程执行节点与时限要求，得2分； 2.提供7×24小时全天候技术支持承诺，得2分； 3.书面承诺一般问题2小时内响应、24小时内解决；重大问题1小时内响应、12小时内处置完毕。得2分。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6.质量保障和服务响应承诺.docx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团队（7分）：针对本项目组建专属稳定服务团队，成员≥5人（包括不少于配备项目负责人、数据分析师、数据工程师、安全工程师、运维专员），所有核心人员均具备3年以上相关项目经验（提供相关证明材料）；人员齐全人员配置齐全、分工明确，得5分；在5人基础上每多配备一人加1分，最多加2分。本项最高计7分。 2.证书（8分）：①负责人需持有大数据分析师、信息系统项目管理师、信息安全工程师等相关专业证书。每提供1本有效证书得1分，最高得3分。②团队人员至少需持有数字技术应用工程师、大模型应用工程师等相关专业证书。每提供1本有效证书得1分，最高得5分。 注：提供持证人员在本单位缴纳的近6个月内任意一个月的社保缴费证明。</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7.项目团队.docx</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1.企业专业认证资质（3分）：供应商具备有效的ISO27001信息安全管理体系认证、ISO20000信息技术服务管理体系认证，应用系统应提供公安机关颁发的三级（及以上）信息系统安全等级保护备案证明，每提供1项有效认证得1分，满分3分（需提供有效证书佐证并加盖供应商公章，过期、无效证书不得分）。 2.软件著作权成果（7分）：供应商拥有证照合规、数据采集、数据排重、字幕捕捉、虚假宣传、区块链电子取证、投诉预警等相关软件著作权，每提供1项有效软著得1分，最高得7分（同一类别提供多个证书的不重复计分；未提供的不得分；提供国家版权局颁发的软件著作权登记证书复印件加盖供应商公章，证书中软件名称应能体现与上述类别的对应关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8.企业综合实力和服务及培训.docx</w:t>
            </w:r>
          </w:p>
        </w:tc>
      </w:tr>
      <w:tr>
        <w:tc>
          <w:tcPr>
            <w:tcW w:type="dxa" w:w="831"/>
            <w:vMerge/>
          </w:tcPr>
          <w:p/>
        </w:tc>
        <w:tc>
          <w:tcPr>
            <w:tcW w:type="dxa" w:w="1661"/>
          </w:tcPr>
          <w:p>
            <w:pPr>
              <w:pStyle w:val="null3"/>
            </w:pPr>
            <w:r>
              <w:rPr>
                <w:rFonts w:ascii="仿宋_GB2312" w:hAnsi="仿宋_GB2312" w:cs="仿宋_GB2312" w:eastAsia="仿宋_GB2312"/>
              </w:rPr>
              <w:t>服务及培训</w:t>
            </w:r>
          </w:p>
        </w:tc>
        <w:tc>
          <w:tcPr>
            <w:tcW w:type="dxa" w:w="2492"/>
          </w:tcPr>
          <w:p>
            <w:pPr>
              <w:pStyle w:val="null3"/>
            </w:pPr>
            <w:r>
              <w:rPr>
                <w:rFonts w:ascii="仿宋_GB2312" w:hAnsi="仿宋_GB2312" w:cs="仿宋_GB2312" w:eastAsia="仿宋_GB2312"/>
              </w:rPr>
              <w:t>根据项目实际需求提供售后方案，包括：（1）提供至少1年免费全程运维服务方案（包含数据更新纠错、系统适配优化、常态化质量巡检、安全运维等）（2）服务期满后的技术升级服务及优惠续服承诺；（3）专项培训服务方案（至少2次）。上述3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6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8.企业综合实力和服务及培训.docx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供应商提供2023年1月至今（以合同签订时间为准）的同类型业绩，每提供一个计1分，满分10分。（须在响应文件中提供合同的复印件加盖公章及发票，否则不计分。）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详见附件：4项目需求分析及数据采集方案.docx</w:t>
      </w:r>
    </w:p>
    <w:p>
      <w:pPr>
        <w:pStyle w:val="null3"/>
        <w:ind w:firstLine="960"/>
      </w:pPr>
      <w:r>
        <w:rPr>
          <w:rFonts w:ascii="仿宋_GB2312" w:hAnsi="仿宋_GB2312" w:cs="仿宋_GB2312" w:eastAsia="仿宋_GB2312"/>
        </w:rPr>
        <w:t>详见附件：5.违法识别与监测方案和数据安全方案.docx</w:t>
      </w:r>
    </w:p>
    <w:p>
      <w:pPr>
        <w:pStyle w:val="null3"/>
        <w:ind w:firstLine="960"/>
      </w:pPr>
      <w:r>
        <w:rPr>
          <w:rFonts w:ascii="仿宋_GB2312" w:hAnsi="仿宋_GB2312" w:cs="仿宋_GB2312" w:eastAsia="仿宋_GB2312"/>
        </w:rPr>
        <w:t>详见附件：6.质量保障和服务响应承诺.docx</w:t>
      </w:r>
    </w:p>
    <w:p>
      <w:pPr>
        <w:pStyle w:val="null3"/>
        <w:ind w:firstLine="960"/>
      </w:pPr>
      <w:r>
        <w:rPr>
          <w:rFonts w:ascii="仿宋_GB2312" w:hAnsi="仿宋_GB2312" w:cs="仿宋_GB2312" w:eastAsia="仿宋_GB2312"/>
        </w:rPr>
        <w:t>详见附件：7.项目团队.docx</w:t>
      </w:r>
    </w:p>
    <w:p>
      <w:pPr>
        <w:pStyle w:val="null3"/>
        <w:ind w:firstLine="960"/>
      </w:pPr>
      <w:r>
        <w:rPr>
          <w:rFonts w:ascii="仿宋_GB2312" w:hAnsi="仿宋_GB2312" w:cs="仿宋_GB2312" w:eastAsia="仿宋_GB2312"/>
        </w:rPr>
        <w:t>详见附件：8.企业综合实力和服务及培训.docx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